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9C_258/2025 vom 11. Juni 2025</w:t>
      </w:r>
    </w:p>
    <w:p>
      <w:r>
        <w:t>Bundesgericht, 2025-06-11, DE</w:t>
      </w:r>
    </w:p>
    <w:p>
      <w:r>
        <w:rPr>
          <w:b/>
        </w:rPr>
        <w:t xml:space="preserve">Quelle: </w:t>
      </w:r>
      <w:r>
        <w:t>https://mcp.opencaselaw.ch/entscheid/bger_9C_258_2025</w:t>
      </w:r>
    </w:p>
    <w:p>
      <w:r>
        <w:t>FR: TF 9C_258/2025 du 11 juin 2025</w:t>
      </w:r>
    </w:p>
    <w:p>
      <w:r>
        <w:t>IT: TF 9C_258/2025 del 11 giugno 2025</w:t>
      </w:r>
    </w:p>
    <w:p>
      <w:pPr>
        <w:pStyle w:val="Heading2"/>
      </w:pPr>
      <w:r>
        <w:t>Volltext</w:t>
      </w:r>
    </w:p>
    <w:p>
      <w:r>
        <w:t>Bundesgericht</w:t>
      </w:r>
    </w:p>
    <w:p>
      <w:r>
        <w:t>Tribunal fédéral</w:t>
      </w:r>
    </w:p>
    <w:p>
      <w:r>
        <w:t>Tribunale federale</w:t>
      </w:r>
    </w:p>
    <w:p>
      <w:r>
        <w:t>Tribunal federal</w:t>
      </w:r>
    </w:p>
    <w:p>
      <w:r>
        <w:t>9C_258/2025</w:t>
      </w:r>
    </w:p>
    <w:p>
      <w:r>
        <w:t>Urteil vom 11. Juni 2025</w:t>
      </w:r>
    </w:p>
    <w:p>
      <w:r>
        <w:t>III. öffentlich-rechtliche Abteilung</w:t>
      </w:r>
    </w:p>
    <w:p>
      <w:r>
        <w:t>Besetzung</w:t>
      </w:r>
    </w:p>
    <w:p>
      <w:r>
        <w:t>Bundesrichterin Moser-Szeless, Präsidentin,</w:t>
      </w:r>
    </w:p>
    <w:p>
      <w:r>
        <w:t>Gerichtsschreiberin Fleischanderl.</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 (Prozessvoraussetzung),</w:t>
      </w:r>
    </w:p>
    <w:p>
      <w:r>
        <w:t>Beschwerde gegen das Urteil des Versicherungsgerichts des Kantons Solothurn vom 15. April 2025 (VSBES.2025.35).</w:t>
      </w:r>
    </w:p>
    <w:p>
      <w:r>
        <w:t>Nach Einsicht</w:t>
      </w:r>
    </w:p>
    <w:p>
      <w:r>
        <w:t>in die Beschwerde vom 10. Mai 2025 (Poststempel) gegen das (Nichteintretens-) Urteil des Versicherungsgerichts des Kantons Solothurn vom 15. April 2025 (betreffend AHV-Beitragsausstände),</w:t>
      </w:r>
    </w:p>
    <w:p>
      <w:r>
        <w:t>in die Mitteilung des Bundesgerichts vom 13. Mai 2025 an A.________, worin auf die gesetzlichen Formerfordernisse von Beschwerden hinsichtlich Begehren und Begründung sowie auf die nur innert der Rechtsmittelfrist noch bestehende Verbesserungsmöglichkeit hingewiesen worden ist,</w:t>
      </w:r>
    </w:p>
    <w:p>
      <w:r>
        <w:t>in die daraufhin von A.________ am 30. Mai 2025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9C_230/2023 vom 3. April 2023 mit Hinweisen),</w:t>
      </w:r>
    </w:p>
    <w:p>
      <w:r>
        <w:t>dass das kantonale Gericht in seinem Urteil mangels tauglichen Anfechtungsobjekts in Form eines - gemäss Art. 56 Abs. 1 ATSG erforderlichen - Einspracheentscheids der Beschwerdegegnerin auf die Eingabe des Beschwerdeführers nicht eingetreten ist,</w:t>
      </w:r>
    </w:p>
    <w:p>
      <w:r>
        <w:t>dass der Beschwerdeführer sich letztinstanzlich darauf beschränkt, erneut die seines Erachtens zu Unrecht für das Jahr 2024 erhobenen AHV-Beitragsausstände zu beanstanden, und damit einzig auf die materiellen Aspekte des Falls Bezug nimmt,</w:t>
      </w:r>
    </w:p>
    <w:p>
      <w:r>
        <w:t>dass den Ausführungen mithin insgesamt nicht entnommen werden kann, inwiefern die Sachverhaltsfeststellung im Sinne von Art. 97 Abs. 1 BGG - soweit überhaupt kritisiert - unzutreffend und die darauf beruhenden Erwägungen rechtsfehlerhaft sein sollen,</w:t>
      </w:r>
    </w:p>
    <w:p>
      <w:r>
        <w:t>dass die beiden Eingaben des Beschwerdeführers den genannten inhaltlichen Mindestanforderungen an eine Beschwerde demnach nicht genügen, zumal diejenige vom 30. Mai 2025 ohnehin verspätet erfolgt ist,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11. Juni 2025</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