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256/2013 vom 1. Juli 2013</w:t>
      </w:r>
    </w:p>
    <w:p>
      <w:r>
        <w:t>Bundesgericht, 2013-07-01, DE</w:t>
      </w:r>
    </w:p>
    <w:p>
      <w:r>
        <w:rPr>
          <w:b/>
        </w:rPr>
        <w:t xml:space="preserve">Quelle: </w:t>
      </w:r>
      <w:r>
        <w:t>https://mcp.opencaselaw.ch/entscheid/bger_9C_256_2013</w:t>
      </w:r>
    </w:p>
    <w:p>
      <w:r>
        <w:t>FR: TF 9C 256/2013 du 1 juillet 2013</w:t>
      </w:r>
    </w:p>
    <w:p>
      <w:r>
        <w:t>IT: TF 9C 256/2013 del 1 luglio 2013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2.1</w:t>
      </w:r>
    </w:p>
    <w:p>
      <w:r>
        <w:t>Somatoforme Schmerzstörungen und ähnliche ätiologisch-pathogenetisch unerklärliche syndromale Leidenszustände - wie die Folgen eines Distorsionstraumas der Halswirbelsäule (HWS) ohne organisch nachweisbare Funktionsausfälle ("Schleudertrauma") -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w:t>
      </w:r>
    </w:p>
    <w:p>
      <w:r>
        <w:rPr>
          <w:b/>
        </w:rPr>
        <w:t>E. 2.2</w:t>
      </w:r>
    </w:p>
    <w:p>
      <w:r>
        <w:t>Die ärztlichen Stellungnahmen zum psychischen Gesundheitszustand und zu dem aus medizinischer Sicht (objektiv) vorhandenen Leistungspotential bilden unabdingbare Grundlage für die Beurteilung der Rechtsfrage (vgl. SVR 2012 IV Nr. 32 S. 127, 9C_776/2010 E. 2.4), ob und gegebenenfalls inwieweit einer versicherten Person unter Aufbringung allen guten Willens die Verwertung ihrer verbleibenden Arbeitskraft zumutbar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 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149, I 554/98 E. 3), und ob die von den Ärzten anerkannte (Teil-) Arbeitsunfähigkeit auch im Lichte der massgebenden rechtlichen Kriterien standhält ( BGE 130 V 352 E. 2.2.5 S. 355 f.).</w:t>
      </w:r>
    </w:p>
    <w:p>
      <w:r>
        <w:rPr>
          <w:b/>
        </w:rPr>
        <w:t>E. 3.1</w:t>
      </w:r>
    </w:p>
    <w:p>
      <w:r>
        <w:t>Die Vorinstanz hat für den massgeblichen medizinischen Sachverhalt für die Zeit zwischen dem Unfall vom 28. Mai 2004 und der Einreichung der Akten des Unfallversicherers beim Gericht am 23. Mai 2009 auf den zum Verfahren beigezogenen Entscheid vom 10. Februar 2011 verwiesen. Darin wurde gestützt auf die Gutachten der Dres. med. J.________ vom 13. November 2007, C.________ vom 27. April 2008, K.________ vom 2. Mai 2008 und E.________ vom 15. Juli 2008 festgestellt, dass die Versicherte fachärztlich mehrfach und umfassend, aber stets ohne Ergebnis auf objektivierbare Befunde für eine neurologische Schädigung hin untersucht worden sei; sie habe im Zeitpunkt der Leistungseinstellung durch den Unfallversicherer, mithin am 23. März 2005, an einer anhaltenden Schmerzproblematik nach HWS-Distorsion ohne nachweisbare organische Grundlage gelitten. Mit Blick auf die Morbiditätskriterien (E. 2.1) wurde auf Dr. med. C.________ verwiesen, der deutliche Hinweise auf ein vorwiegend bewusstseinsnahes aggravatives Verhalten erkannt habe, auch wenn eine bewusstseinsferne unbewusste Symptomproduktion im Rahmen der beruflichen Überforderungssituation nicht auszuschliessen sei; zudem habe er auch keinen irreversiblen Dauerzustand gesehen. Weiter hat die Vorinstanz im angefochtenen Entscheid festgestellt, die Versicherte habe nicht behauptet, dass die Sachverhaltsabklärungen der IV-Stelle neue Fakten zur Objektivierung der Schmerz- und Erschöpfungsproblematik hervorgebracht hätten oder dass weitere Abklärungen solche Fakten liefern könnten. Nach dem Unfall vom 28. Mai 2004 habe die Beschwerdeführerin bis zum 13. Januar 2005 ihre Arbeitsfähigkeit in der zuvor ausgeübten Tätigkeit vollständig wiedererlangt. Der psychiatrische Gutachter habe nachvollziehbar dargelegt, dass die Verschlechterung des Gesundheitszustandes, welche zur Dekompensation in einer vollständigen Arbeitsunfähigkeit ab März 2006 geführt habe, Folge der beruflichen Überforderung in der im März 2005 neu aufgenommenen, anspruchsvolleren beruflichen Funktion sei.</w:t>
      </w:r>
    </w:p>
    <w:p>
      <w:r>
        <w:rPr>
          <w:b/>
        </w:rPr>
        <w:t>E. 3.2</w:t>
      </w:r>
    </w:p>
    <w:p>
      <w:r>
        <w:t>Dass diese Feststellungen offensichtlich unrichtig sein oder auf einer Rechtsverletzung beruhen sollen, ist nicht ersichtlich und wird auch nicht geltend gemacht; sie bleiben daher für das Bundesgericht verbindlich (E. 1.1). Entgegen der Auffassung der Versicherten hat die Vorinstanz somit durchaus - und in rechtskonformer Würdigung der Beweislage - tatbestandsrelevante (vgl. Art. 4 IVG in Verbindung mit Art. 8 Abs. 1 und Art. 7 ATSG [SR 830.1]) Sachverhaltsfeststellungen getroffen. Indessen liess sich - gemessen am Beweisgrad der überwiegenden Wahrscheinlichkeit - keine invalidisierende Einschränkung der Arbeitsfähigkeit feststellen. Das ergibt sich namentlich unter rechtlicher Betrachtung (E. 3.3 und 3.4). Ausserdem wird nicht vorgebracht und fehlen Anhaltspunkte dafür, dass sich der Gesundheitszustand der Versicherten seit Mai 2009 verschlechtert haben soll.</w:t>
      </w:r>
    </w:p>
    <w:p>
      <w:r>
        <w:rPr>
          <w:b/>
        </w:rPr>
        <w:t>E. 3.3</w:t>
      </w:r>
    </w:p>
    <w:p>
      <w:r>
        <w:t>Soweit sich die Beschwerdeführerin auf eine neurologisch resp. neuropsychologisch attestierte Arbeitsunfähigkeit beruft, kann sie nichts für sich ableiten. Die entsprechenden Einschätzungen führen angesichts der hier grundsätzlich anwendbaren Rechtsprechung gemäss BGE 130 V 352 E. 2.2.3 S. 354 f. (E. 2.1) nicht zu einer Invalidität im rechtlichen Sinn (E. 2.2) : Dass Morbiditätskriterien in genügender Intensität erfüllt sein sollen, geht aus den (medizinischen) Unterlagen nicht hervor und wird auch von der Versicherten nicht behauptet. Zudem beruht die 2006 eingetretene Verschlechterung des Gesundheitszustandes gemäss verbindlicher vorinstanzlicher Feststellung auf einer beruflichen Überforderung (E. 3.1). Damit findet sie ihre hinreichende Erklärung in invaliditätsfremden, psychosozialen Umständen; auch aus diesem Grund ist sie im Rahmen der invalidenversicherungsrechtlichen Leistungszusprache nicht zu berücksichtigen.</w:t>
      </w:r>
    </w:p>
    <w:p>
      <w:r>
        <w:rPr>
          <w:b/>
        </w:rPr>
        <w:t>E. 3.4</w:t>
      </w:r>
    </w:p>
    <w:p>
      <w:r>
        <w:t>Schliesslich macht die Versicherte geltend, eine Leidensüberwindung in dem Sinn, dass sie ein rentenausschliessendes Einkommen habe erzielen können, sei erst seit Mai 2011, nicht jedoch vor Ablauf des Wartejahres (vgl. Art. 28 Abs. 1 lit. b IVG ) möglich gewesen. Damit beruft sie sich - entgegen BGE 130 V 352 E. 2.2.3 S. 354 f. (E. 2.1) - für die vorangegangene Zeit auf eine invalidisierende Arbeitsunfähigkeit. Triftige Gründe für eine Abkehr von der gefestigten Rechtsprechung (vgl. zu den Voraussetzung für eine Praxisänderung BGE 136 III 6 E. 3 S. 8 ; 135 I 79 E. 3 S. 82; 134 V 72 E. 3.3 S. 76) werden indessen nicht dargelegt und sind auch nicht erkennbar. Insbesondere hat die Vorinstanz diesbezüglich zutreffend dargelegt, dass sich aus BGE 137 V 199 nichts zu Gunsten der Beschwerdeführerin ergibt. Das Bundesgericht begründete in diesem Urteil eingehend (a.a.O., E. 2.2 S. 202 ff.), weshalb die Rechtsprechung gemäss BGE 130 V 352 E. 2.2.3 S. 354 f. zwar auf Invalidenrenten (als Dauerleistungen), nicht aber auf Heilbehandlungen und Taggelder der Unfallversicherung (als vorübergehende Leistungen) anwendbar ist. Dementsprechend lässt sich auch nicht umgekehrt von einem allfälligen - hier ohnehin nicht gegebenen - länger dauernden Taggeldanspruch auf eine rentenbegründende Invalidität schliessen (vgl. auch Urteil 9C_1026/2012 vom 13. Februar 2013 E. 4).</w:t>
      </w:r>
    </w:p>
    <w:p>
      <w:r>
        <w:rPr>
          <w:b/>
        </w:rPr>
        <w:t>E. 3.5</w:t>
      </w:r>
    </w:p>
    <w:p>
      <w:r>
        <w:t>Nach dem Gesagten hat die Vorinstanz im Ergebnis zu Recht einen (befristeten) Rentenanspruch verneint.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