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9C_255/2019 vom 16. Juli 2019</w:t>
      </w:r>
    </w:p>
    <w:p>
      <w:r>
        <w:t>Bundesgericht, 2019-07-16, DE</w:t>
      </w:r>
    </w:p>
    <w:p>
      <w:r>
        <w:rPr>
          <w:b/>
        </w:rPr>
        <w:t xml:space="preserve">Quelle: </w:t>
      </w:r>
      <w:r>
        <w:t>https://mcp.opencaselaw.ch/entscheid/bger_9C_255_2019</w:t>
      </w:r>
    </w:p>
    <w:p>
      <w:r>
        <w:t>FR: TF 9C_255/2019 du 16 juillet 2019</w:t>
      </w:r>
    </w:p>
    <w:p>
      <w:r>
        <w:t>IT: TF 9C_255/2019 del 16 luglio 2019</w:t>
      </w:r>
    </w:p>
    <w:p>
      <w:pPr>
        <w:pStyle w:val="Heading2"/>
      </w:pPr>
      <w:r>
        <w:t>Erwägungen</w:t>
      </w:r>
    </w:p>
    <w:p>
      <w:r>
        <w:rPr>
          <w:b/>
        </w:rPr>
        <w:t>E. 1</w:t>
      </w:r>
    </w:p>
    <w:p>
      <w:r>
        <w:t>Die Beschwerde in öffentlich-rechtlichen Angelegenheiten ist ein reformatorisches Rechtsmittel ( Art. 107 Abs. 2 BGG ), weshalb auch ein Rechtsbegehren reformatorisch gestellt sein muss. Ein rein kassatorisches Begehren ist jedoch zulässig, wenn das Bundesgericht ohnehin nicht in der Sache entscheiden könnte. Dies ist namentlich bei einer vor Bundesgericht nicht heilbaren Gehörsverletzung (Urteil 2C_1109/2018 vom 13. Februar 2019 E. 1.2) oder bei einer ungenügenden Sachverhaltsabklärung durch die Vorinstanz (Urteil 8C_135/2017 vom 4. September 2017 E. 1 mit Hinweisen) der Fall. Auf die Beschwerde, mit der diese Rügen erhoben werden, ist deshalb einzutreten.</w:t>
      </w:r>
    </w:p>
    <w:p>
      <w:r>
        <w:rPr>
          <w:b/>
        </w:rPr>
        <w:t>E. 2.1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Die Ergebnisse der Beweiswürdigung im Allgemeinen und die auf der Würdigung ärztlicher Berichte und Gutachten beruhenden gerichtlichen Feststellungen zum Gesundheitsschaden und zur (Rest-) Arbeitsfähigkeit im Besonderen sind tatsächlicher Natur ( BGE 132 V 393 E. 3.2 S. 398 f.) und einer bundesgerichtlichen Korrektur somit nur nach Massgabe von Art. 105 Abs. 2 BGG zugänglich (E. 2.1).</w:t>
      </w:r>
    </w:p>
    <w:p>
      <w:r>
        <w:rPr>
          <w:b/>
        </w:rPr>
        <w:t>E. 3.1</w:t>
      </w:r>
    </w:p>
    <w:p>
      <w:r>
        <w:t>Die Beschwerdeführerin bringt vor, die Vorinstanz habe sich zu ihrem Antrag 3 in der Klage auf Fortführung des Sparguthabens ab 1. April 2016 mit keinem Wort geäussert. Mit ihrer Stellungnahme vom 5. November 2018 sei dieser nicht zurückgezogen worden. Das kantonale Gericht habe deshalb das rechtliche Gehör verletzt. Weiter rügt sie eine Verletzung des Gehörsanspruchs, weil sich die Vorinstanz nicht mit der von ihr in der Stellungnahme vom 5. November 2018 beantragten Rückweisung an die BVK zur vertrauensärztlichen Untersuchung befasst habe.</w:t>
      </w:r>
    </w:p>
    <w:p>
      <w:r>
        <w:rPr>
          <w:b/>
        </w:rPr>
        <w:t>E. 3.2</w:t>
      </w:r>
    </w:p>
    <w:p>
      <w:r>
        <w:t>Die Begründungspflicht (als Teilgehalt des Anspruchs auf rechtliches Gehör gemäss Art. 29 Abs. 2 BV ) gebietet, dass das Gericht die Überlegungen nennt, von denen es sich hat leiten lassen, damit der Entscheid sachgerecht angefochten werden kann (vgl. BGE 138 IV 81 E. 2.2 S. 84 ; 136 I 229 E. 5.2 S. 236 mit Hinweisen).</w:t>
      </w:r>
    </w:p>
    <w:p>
      <w:r>
        <w:rPr>
          <w:b/>
        </w:rPr>
        <w:t>E. 3.3.1</w:t>
      </w:r>
    </w:p>
    <w:p>
      <w:r>
        <w:t>Es trifft zu, dass die Vorinstanz in den Erwägungen und dem Dispositiv auf den Antrag auf Fortführung des Sparguthabens ab 1. April 2016 nicht einging. Einzig im Sachverhalt des angefochtenen Entscheids legte das Gericht dar, die Beschwerdeführerin habe in ihrer Stellungnahme vom 5. November 2018 den Klageantrag 3 nicht mehr angefü hrt. Aus dieser Ausführung erschliesst sich jedoch nicht, ob die Vorinstanz von einem teilweisen Klagerückzug ausging (vgl. BGE 140 III 16 E. 1.1.1 S. 17 f.; Urteil 5A_898/2017 vom 11. Januar 2018 E. 4.2) oder aus Versehen dieses Rechtsbegehren nicht behandelte. Der vorinstanzliche Entscheid ist insoweit mangelhaft begründet und die Sache ist in diesem (Neben-) Punkt an die Vorinstanz zurückzuweisen. Soweit die Beschwerdeführerin aus diesem Grund insgesamt eine Aufhebung des kantonalen Entscheids verlangt, kann dem nicht gefolgt werden, tangiert doch der nicht behandelte Antrag den Anspruch auf eine Berufsinvalidenrente und einen Überbrückungszuschuss nicht. Entgegen der Ansicht der Beschwerdeführerin rechtfertigt es sich daher nicht, den angefochtenen Entscheid in seiner Gesamtheit aufzuheben.</w:t>
      </w:r>
    </w:p>
    <w:p>
      <w:r>
        <w:rPr>
          <w:b/>
        </w:rPr>
        <w:t>E. 3.3.2</w:t>
      </w:r>
    </w:p>
    <w:p>
      <w:r>
        <w:t>Betreffend die weitere geltend gemachte Verletzung des Gehörsanspruchs - Antrag auf Rückweisung zur Oberbegutachtung -, hat die Vorinstanz den massgeblichen Sachverhalt als genügend abgeklärt beurteilt. Sie hat erwogen, dass aus einer allfälligen krebsbezogenen somatischen Störung gemäss den von Dr. med. D.________ erhobenen Befunden eine Einschränkung von weniger als 20 % resultiere. Diese maximale Arbeitsunfähigkeit von 20 % sei nicht geeignet einen weiteren Leistungsanspruch zu begründen, da ein solcher eine mindestens 25%ige Arbeitsunfähigkeit voraussetze. Dem angefochtenen Entscheid lässt sich somit entnehmen, welche Überlegungen ihm zugrunde liegen. Der Gehörsanspruch wird nicht verletzt, wenn das Gericht nach Würdigung der Beweise zur Überzeugung gelangt, eine weitere Beweisabnahme vermöge daran nichts zu ändern (für viele: Urteil 9C_400/2012 vom 4. April 2013 E. 6.1, nicht publ. in: BGE 139 V 176 ). Eine Verletzung des rechlichen Gehörs liegt hier nicht vor.</w:t>
      </w:r>
    </w:p>
    <w:p>
      <w:r>
        <w:rPr>
          <w:b/>
        </w:rPr>
        <w:t>E. 4</w:t>
      </w:r>
    </w:p>
    <w:p>
      <w:r>
        <w:t>Die Beschwerdeführerin vertritt weiter die Ansicht, die Vorinstanz habe gegen den Untersuchungsgrundsatz verstossen. Der somatische Gesundheitszustand bedürfe zusätzlicher Abklärungen, nachdem Dr. med. D.________ den Verdacht auf eine krebsbezogene Müdigkeit erhoben habe. Die Abklärungen durch den Psychiater Dr. med. D.________ genügten nicht, da dieser diese Beschwerden, weil fachfremd, nicht habe beurteilen können.</w:t>
      </w:r>
    </w:p>
    <w:p>
      <w:r>
        <w:t>Mit diesen Vorbringen setzte sich bereits das kantonale Gericht auseinander. Es erachtete die Abklärungen durch Dr. med. D.________ als hinreichend, da aus den von ihm beschriebenen Befunden eine Einschränkung der Arbeitsfähigkeit von weniger als 20 % resultiere. Diese Schlussfolgerung verletzt, wie im Nachfolgenden dargelegt wird, kein Bundesrecht: Dr. med. D.________ hielt fest, die von der Beschwerdeführerin beschriebene vorzeitige Ermüdbarkeit lasse sich in den Alltagsschilderungen nur geringfügig nachvollziehen, insbesondere nicht während den Ferien und sozialen Aktivitäten. Eine Müdigkeit am Nachmittag, insbesondere nach 4,5 Stunden anstrengender Arbeit und einem Mittagessen (postprandiales Tief), die über einen Mittagsschlaf kompensiert werde, sei nichts Ungewöhnliches. Die Nachmittagsmüdigkeit wie auch die verstärkte Einschlafneigung am Abend nehme mit dem Alter auch zu. Es sei verständlich, dass die Versicherte diese physiologische Veränderung der Krebserkrankung zuschreibe - im Kern sei es aber ein normaler physiologischer Prozess. Eine Neurasthenie sowie psychisch bedingte Einschränkung verneinte der Gutachter. Weiter legte Dr. med. D.________ mit Blick darauf, dass eine Müdigkeit auch somatische Ursachen haben könne, dar, dass mit den von ihm erhobenen Befunde bezüglich Aktivitätsniveau eine Einschränkung von bis zu weniger als 20 % vereinbar sei. Eine subjektive Müdigkeit könnte durch eine Schlafapnoe, Übergewicht oder andere somatische, insbesondere auch einer krebsbezogenen Ursache, plausibilisiert werden. Den Entstehungsgrund (Ätiologie) der Müdigkeit könne er jedoch nicht beurteilen, weil fachfremd. Dr. med. D.________ befasste sich mit der von der Beschwerdeführerin geltend gemachten Müdigkeit und der daraus resultierenden Einschränkung der Arbeitsfähigkeit eingehend. Er hat die massgebenden Befunde, auch wenn diesen eine mittelbar somatische Ursache zugrunde liegen sollte, umfassend erhoben und aufgrund dessen war er in der Lage, eine dadurch bedingte Einschränkung der Arbeitsfähigkeit einzuschätzen. Die darauf beruhende Beweiswürdigung der Vorinstanz ist nicht willkürlich.</w:t>
      </w:r>
    </w:p>
    <w:p>
      <w:r>
        <w:rPr>
          <w:b/>
        </w:rPr>
        <w:t>E. 5</w:t>
      </w:r>
    </w:p>
    <w:p>
      <w:r>
        <w:t>Die Beschwerde ist betreffend eine Verletzung des rechtlichen Gehörs im Zusammenhang mit dem Antrag auf Fortführung des Sparguthabens ab 1. April 2016 gutzuheissen. Im Übrigen ist die Beschwerde jedoch unbegründet. Auf einen Schriftenwechsel wird angesichts dieses Verfahrensausgangs, der in Bezug auf die teilweise Gutheissung der Beschwerde einen formellen Hintergrund aufweist, verzichtet. Die Einholung einer Vernehmlassung zur Beschwerde käme einem Leerlauf gleich und würde nur weitere Kosten verursachen. Damit ist ein Schriftenwechsel aus Gründen der Prozessökonomie nicht erforderlich ( Art. 102 Abs. 1 BGG ; vgl. statt vieler Urteil 9C_279/2019 vom 1. Juli 2019 E. 2.2 in fine).</w:t>
      </w:r>
    </w:p>
    <w:p>
      <w:r>
        <w:rPr>
          <w:b/>
        </w:rPr>
        <w:t>E. 6</w:t>
      </w:r>
    </w:p>
    <w:p>
      <w:r>
        <w:t>Nach dem Verfahrensausgang rechtfertigt es sich, die Gerichtskosten (Art. 65 Abs. 1 und Abs. 4 lit. a BGG) den Parteien je zur Hälfte aufzuerlegen ( Art. 66 Abs. 1 BGG ). Aus dem selben Grund steht der Beschwerdeführerin gegenüber der BVK eine reduzierte Parteientschädigung zu ( Art. 68 Abs. 1 und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