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9C_254/2019 vom 28. Juni 2019</w:t>
      </w:r>
    </w:p>
    <w:p>
      <w:r>
        <w:t>Bundesgericht, 2019-06-28, DE</w:t>
      </w:r>
    </w:p>
    <w:p>
      <w:r>
        <w:rPr>
          <w:b/>
        </w:rPr>
        <w:t xml:space="preserve">Quelle: </w:t>
      </w:r>
      <w:r>
        <w:t>https://mcp.opencaselaw.ch/entscheid/bger_9C_254_2019</w:t>
      </w:r>
    </w:p>
    <w:p>
      <w:r>
        <w:t>FR: TF 9C_254/2019 du 28 juin 2019</w:t>
      </w:r>
    </w:p>
    <w:p>
      <w:r>
        <w:t>IT: TF 9C_254/2019 del 28 giugno 2019</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Die Vorinstanz hat die Ergebnisse der Überwachung für verwertbar gehalten. Sodann hat sie einen (spätestens) ab November 2014 erheblich verbesserten Gesundheitszustand festgestellt und diesbezüglich dem Versicherten eine Meldepflichtverletzung vorgeworfen. Folglich hat sie - auf der Grundlage von Art. 17 ATSG und Art. 88bis Abs. 2 lit. b IVV (SR 831.201) - die Voraussetzungen für eine rückwirkende Rentenaufhebung (auf den 1. November 2014) bejaht.</w:t>
      </w:r>
    </w:p>
    <w:p>
      <w:r>
        <w:rPr>
          <w:b/>
        </w:rPr>
        <w:t>E. 3.1</w:t>
      </w:r>
    </w:p>
    <w:p>
      <w:r>
        <w:t>Eine sachgerechte Anfechtung des vorinstanzlichen Entscheids war möglich. Daher kann von einer Verletzung des Anspruchs auf rechtliches Gehör resp. der Begründungspflicht keine Rede sein (vgl. BGE 142 III 433 E. 4.3.2 S. 436 mit Hinweisen).</w:t>
      </w:r>
    </w:p>
    <w:p>
      <w:r>
        <w:rPr>
          <w:b/>
        </w:rPr>
        <w:t>E. 3.2</w:t>
      </w:r>
    </w:p>
    <w:p>
      <w:r>
        <w:t>Beweismaterial, das (wie hier) im Rahmen einer rechtswidrig angeordneten Observation im öffentlich frei einsehbaren Raum gewonnen wurde, ist im Invalidenversicherungsverfahren gestützt auf eine Interessenabwägung zwischen privaten und öffentlichen Interessen verwertbar ( BGE 143 I 377 E. 5.1.1 S. 385 f.). Das Vorbringen des Beschwerdeführers, dass die von der IV-Stelle veranlasste Überwachung mangels eines hinreichenden Anfangsverdachts resp. Gebotenheit (vgl. BGE 137 I 327 E. 5.4.2 S. 332 ff.) rechtswidrig gewesen sein soll, ist daher nicht von entscheidender Bedeutung. Die Vorinstanz hat in E. 7.2 und 7.3 des angefochtenen Entscheids dargelegt, weshalb sie die rechtswidrig (ohne genügende gesetzliche Grundlage) erlangten Observationsergebnisse für verwertbar gehalten hat. Der Versicherte befasst sich damit nicht substanziiert (vgl. E. 1.1), und es ist auch nicht ersichtlich, dass der vorinstanzliche Entscheid diesbezüglich rechtswidrig sein soll (vgl. Urteil 9C_561/2018 vom 8. Februar 2019 E. 5.2.2).</w:t>
      </w:r>
    </w:p>
    <w:p>
      <w:r>
        <w:rPr>
          <w:b/>
        </w:rPr>
        <w:t>E. 3.3.1</w:t>
      </w:r>
    </w:p>
    <w:p>
      <w:r>
        <w:t>Die Vorinstanz hat mit Blick auf Art. 17 ATSG und Art. 88bis Abs. 2 lit. b IVV insbesondere festgestellt, der Versicherte habe gegenüber Dr. med. B.________ u.a. angegeben, unter Ängsten zu leiden, allein kaum aus dem Haus zu gehen, keine Spaziergänge zu machen und niemanden zu treffen. Eine derart deutliche Symptomatik einer depressiv-ängstlichen Rückzugstendenz mit totaler sozialer Isolation, Regression und Abschottung liege nicht mehr vor; die anlässlich der Observation ab dem 26. Oktober 2014 dokumentierten Aktivitäten kontrastierten klar mit den früheren Angaben. Seit diesem Datum sei der Beschwerdeführer mindestens zu 80 % in angepasster Tätigkeit arbeitsfähig. Angesichts des erhöhten Aktivitätenniveaus sei ihm sein verbesserter Gesundheitszustand zweifellos erkennbar gewesen.</w:t>
      </w:r>
    </w:p>
    <w:p>
      <w:r>
        <w:t>Diesbezüglich stellt der Beschwerdeführer lediglich die Verbesserung des Gesundheitszustandes und den Zeitpunkt deren Eintritts in Abrede.</w:t>
      </w:r>
    </w:p>
    <w:p>
      <w:r>
        <w:rPr>
          <w:b/>
        </w:rPr>
        <w:t>E. 3.3.2</w:t>
      </w:r>
    </w:p>
    <w:p>
      <w:r>
        <w:t>Die vorinstanzlichen Feststellungen (E. 3.3.1) finden eine beweismässige Grundlage insbesondere in der überzeugenden (vgl. BGE 125 V 251 E. 3a S. 352) Expertise des Dr. med. C.________ vom 27. Juni 2016, die noch ohne Kenntnis der Observationsergebnisse erstellt wurde, und im verwertbaren (E. 3.2) Ermittlungsbericht über die zwischen Februar 2014 und Mai 2015 erfolgte Überwachung. Sie beruhen daher nicht auf einer Rechtsverletzung. Auch wenn "psychotische Schwankungen" und die 2013 gegenüber Dr. med. B.________ gemachten Angaben, alleine "kaum" aus dem Haus zu gehen, "vielleicht mal" mit dem Smart-Auto eine kurze Strecke zu fahren und alleine zum behandelnden Psychiater zu gehen, (mit-) berücksichtigt werden, sind die vorinstanzlichen Feststellungen nicht offensichtlich unrichtig (E. 1.2). Sie bleiben für das Bundesgericht verbindlich (E. 1.1).</w:t>
      </w:r>
    </w:p>
    <w:p>
      <w:r>
        <w:rPr>
          <w:b/>
        </w:rPr>
        <w:t>E. 3.4</w:t>
      </w:r>
    </w:p>
    <w:p>
      <w:r>
        <w:t>Da die Beschwerde offensichtlich unbegründet ist, wird sie im Verfahren nach Art. 109 Abs. 2 lit. a BGG mit summarischer Begründung und unter Hinweis auf den kantonalen Gerichtsentscheid (Abs. 3) erledigt.</w:t>
      </w:r>
    </w:p>
    <w:p>
      <w:r>
        <w:rPr>
          <w:b/>
        </w:rPr>
        <w:t>E. 4</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