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9C_251/2009 vom 15. Mai 2009</w:t>
      </w:r>
    </w:p>
    <w:p>
      <w:r>
        <w:t>Bundesgericht, 2009-05-15, DE</w:t>
      </w:r>
    </w:p>
    <w:p>
      <w:r>
        <w:rPr>
          <w:b/>
        </w:rPr>
        <w:t xml:space="preserve">Quelle: </w:t>
      </w:r>
      <w:r>
        <w:t>https://mcp.opencaselaw.ch/entscheid/bger_9C_251_2009</w:t>
      </w:r>
    </w:p>
    <w:p>
      <w:r>
        <w:t>FR: TF 9C_251/2009 du 15 mai 2009</w:t>
      </w:r>
    </w:p>
    <w:p>
      <w:r>
        <w:t>IT: TF 9C_251/2009 del 15 maggio 2009</w:t>
      </w:r>
    </w:p>
    <w:p>
      <w:pPr>
        <w:pStyle w:val="Heading2"/>
      </w:pPr>
      <w:r>
        <w:t>Erwägungen</w:t>
      </w:r>
    </w:p>
    <w:p>
      <w:r>
        <w:rPr>
          <w:b/>
        </w:rPr>
        <w:t>E. 1</w:t>
      </w:r>
    </w:p>
    <w:p>
      <w:r>
        <w:t>Streitig und zu prüfen ist, ob das kantonale Gericht mit Blick auf die vorinstanzlich gestellten Beschwerdeanträge zu Recht nicht auf das Rechtsmittel eingetreten sei.</w:t>
      </w:r>
    </w:p>
    <w:p>
      <w:r>
        <w:rPr>
          <w:b/>
        </w:rPr>
        <w:t>E. 1.1</w:t>
      </w:r>
    </w:p>
    <w:p>
      <w:r>
        <w:t>Die Vorinstanz begründet ihren Nichteintretensentscheid damit, das Rechtsmittel genüge den rechtlichen Anforderungen ( Art. 61 lit. b ATSG ) nicht. Nach Ablauf der gesetzten Frist zur Verbesserung des Hauptantrages (auf Anerkennung des wirtschaftlichen Härtefalls über den 1. November 2008 hinaus und weitere Ausrichtung einer "Ergänzungsleistung zur ¼ IV-Rente") sei androhungsgemäss auf dieses Rechtsbegehren abzustellen. Da kein Antrag auf eine Härtefallrente gestellt worden sei, könne die Beschwerdeführerin aus einer weiterdauernden Anerkennung des Härtefalls keinen praktischen Nutzen ziehen; sie habe daher kein schutzwürdiges Interesse an einer entsprechenden Feststellung und folglich auch kein Beschwerderecht. Was die anbegehrte Zusprechung einer Ergänzungsleistung im Sinne des ELG anbelange, so fehle es am Anfechtungsobjekt.</w:t>
      </w:r>
    </w:p>
    <w:p>
      <w:r>
        <w:rPr>
          <w:b/>
        </w:rPr>
        <w:t>E. 1.2</w:t>
      </w:r>
    </w:p>
    <w:p>
      <w:r>
        <w:t>Die Beschwerdeführerin nimmt den Rechtsstandpunkt ein, der wahre Sinn des Rechtsbegehrens, nämlich auf Weiterausrichtung der Härtefallrente, habe sich ohne weiteres aus den Verfahrensakten und dem Gesamtzusammenhang ergeben. Der einschlägige Beschwerdewille folge schon daraus, dass in der Beschwerdeschrift vom 14. Oktober 2008 ausdrücklich die Aufhebung der Verfügung vom 12. September 2008 (betreffend Verneinung der wirtschaftlichen Härte und Ablösung der bisherigen halben Besitzstandsrente durch eine ordentliche Viertelsrente) verlangt werde. Die Vorinstanz habe mit dem Nichteintretensentscheid Bundesrecht verletzt.</w:t>
      </w:r>
    </w:p>
    <w:p>
      <w:r>
        <w:rPr>
          <w:b/>
        </w:rPr>
        <w:t>E. 1.3</w:t>
      </w:r>
    </w:p>
    <w:p>
      <w:r>
        <w:t>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 wenig wie eine nicht geglückte oder rechtsirrtümliche Ausdrucksweise. Es genügt, wenn der Beschwerde insgesamt entnommen werden kann, was die beschwerdeführende Person verlangt (SVR 2004 IV Nr. 25 S. 75 E. 3.2.1 mit Hinweisen, I 138/02).</w:t>
      </w:r>
    </w:p>
    <w:p>
      <w:r>
        <w:rPr>
          <w:b/>
        </w:rPr>
        <w:t>E. 1.4.1</w:t>
      </w:r>
    </w:p>
    <w:p>
      <w:r>
        <w:t>Nach aArt. 28 Abs. 1bis IVG hatte der Versicherte bereits bei einem Invaliditätsgrad von mindestens 40 Prozent Anspruch auf eine halbe Rente. Zur Wahrung des Besitzstandes wird nach Wegfall dieser Bestimmung bei einem Invaliditätsgrad von mindestens 40 und weniger als 50 Prozent übergangsrechtlich weiterhin eine halbe (statt eine Viertels-) Rente ausbezahlt, wenn u.a. die wirtschaftliche Voraussetzung des Härtefalls nach bisherigem Recht erfüllt ist und die Viertelsrente und die jährliche Ergänzungsleistung zusammen niedriger sind als die halbe Rente (Schlussbestimmungen der Änderung vom 21. März 2003 [4. IV-Revision], lit. d Abs. 2). Die Beurteilung der Frage, ob eine Härtefallrente beansprucht werden kann, richtete sich u.a. nach Ergänzungsleistungsrecht (vgl. den auf den 1. Januar 2004 aufgehobenen Art. 28bis IVV , wonach ein Härtefall vorliegt, wenn die vom ELG anerkannten Ausgaben die nach ELG anrechenbaren Einnahmen übersteigen). Auch wenn dieser Umstand bei der Formulierung des Rechtsbegehrens in der vorinstanzlichen Beschwerdeschrift eine Rolle gespielt haben mag, kann jenes nicht in guten Treuen dahingehend verstanden werden, es würden Leistungen nach ELG verlangt. Wo das aus Sicht der beschwerdeführenden Partei Vernünftige - hier ein Antrag auf ungeschmälerte Weiterführung der bisherigen Härtefallrente - naheliegt, darf nicht das Unvernünftige - also das Ersuchen um eine gar nicht Verfahrensgegenstand bildende andersartige Leistung - unterstellt werden. Das fragliche Rechtsbegehren ist zwar terminologisch unzutreffend, aber inhaltlich unmittelbar verständlich. Der Verzicht des kantonalen Gerichts auf jeglichen Einbezug des materiellrechtlichen und verfahrensmässigen Kontextes führt zu einer Formstrenge, die durch kein schutzwürdiges Interesse gerechtfertigt ist. Überspitzter Formalismus ist eine besondere Form der Rechtsverweigerung ( BGE 134 II 244 E. 2.4.2 S. 248; 130 V 177 E. 5.4.1 S. 183).</w:t>
      </w:r>
    </w:p>
    <w:p>
      <w:r>
        <w:rPr>
          <w:b/>
        </w:rPr>
        <w:t>E. 1.4.2</w:t>
      </w:r>
    </w:p>
    <w:p>
      <w:r>
        <w:t>Einer Aufforderung des Gerichts zur Präzisierung des Rechtsbegehrens hätte es somit von vornherein nicht bedurft. Dementsprechend ist unerheblich, dass - einerseits - es die Vorinstanz unterlassen hat, mit der Nachfristansetzung ausdrücklich Nichteintreten anzudrohen (vgl. Art. 61 lit. b Satz 2 ATSG ), und - anderseits - die Replik der Beschwerdeführerin vom 20. November 2008 keine einschlägige Stellungnahme enthält.</w:t>
      </w:r>
    </w:p>
    <w:p>
      <w:r>
        <w:rPr>
          <w:b/>
        </w:rPr>
        <w:t>E. 1.5</w:t>
      </w:r>
    </w:p>
    <w:p>
      <w:r>
        <w:t>Der angefochtene Entscheid verletzt Bundesrecht ( Art. 61 lit. b ATSG ; vgl. Art. 9 BV und Art. 2 Abs. 1 ZGB ); er wird aufgehoben und die Sache an die Vorinstanz zur materiellen Behandlung zurückgewiesen.</w:t>
      </w:r>
    </w:p>
    <w:p>
      <w:r>
        <w:rPr>
          <w:b/>
        </w:rPr>
        <w:t>E. 2.1</w:t>
      </w:r>
    </w:p>
    <w:p>
      <w:r>
        <w:t>Tritt die Vorinstanz auf ein Rechtsmittel zu Unrecht nicht ein, so sind die Gerichtskosten für das bundesgerichtliche Verfahren an sich der gegnerischen Verfahrenspartei aufzuerlegen (vgl. etwa in BGE 134 V 162 nicht veröffentlichte E. 7 des Urteils 9C_853/2007 vom 15. April 2008; Urteil 1C_26/2009 vom 27. Februar 2009 E. 3). Bei qualifizierter Verletzung der Pflicht zur Justizgewährleistung richtet sich die Verlegung der Gerichtskosten und der Parteientschädigung hingegen nach dem Verursacherprinzip (Art. 66 Abs. 1 zweiter Satz, Art. 66 Abs. 3 und Art. 68 Abs. 4 BGG ; BGE 129 V 335 E. 4 S. 342; SVR 2006 KV Nr. 3 S. 6 E. 7 mit Hinweisen, K 27/04 [willkürliche Auslegung gerichtsorganisatorischer Vorschriften]; RKUV 1999 Nr. U 331 S. 128 E. 4). Dies gilt auch bei überspitztem Formalismus als besonderer Form der Rechtsverweigerung (oben E. 1.4.1; Urteil 9C_867/2008 vom 6. April 2009 E. 8; vgl. aber Urteil 8C_145/2007 vom 8. Januar 2009 E. 5).</w:t>
      </w:r>
    </w:p>
    <w:p>
      <w:r>
        <w:t>Abweichend vom Grundsatz der Kostenbefreiung von Gemeinwesen ( Art. 66 Abs. 4 BGG ) hat somit der Kanton Thurgau die Gerichtskosten zu tragen und der Beschwerdeführerin eine Parteientschädigung zu bezahlen.</w:t>
      </w:r>
    </w:p>
    <w:p>
      <w:r>
        <w:rPr>
          <w:b/>
        </w:rPr>
        <w:t>E. 2.2</w:t>
      </w:r>
    </w:p>
    <w:p>
      <w:r>
        <w:t>Im Übrigen wird die Vorinstanz im Rahmen ihres materiellen Entscheids die Kostenfolgen des bisherigen kantonalen Beschwerdeverfahrens der neuen Verfahrenslage entsprechend zu regeln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