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250/2024 vom 10. Juni 2024</w:t>
      </w:r>
    </w:p>
    <w:p>
      <w:r>
        <w:t>Bundesgericht, 2024-06-10, DE</w:t>
      </w:r>
    </w:p>
    <w:p>
      <w:r>
        <w:rPr>
          <w:b/>
        </w:rPr>
        <w:t xml:space="preserve">Quelle: </w:t>
      </w:r>
      <w:r>
        <w:t>https://mcp.opencaselaw.ch/entscheid/bger_9C_250_2024</w:t>
      </w:r>
    </w:p>
    <w:p>
      <w:r>
        <w:t>FR: TF 9C 250/2024 du 10 juin 2024</w:t>
      </w:r>
    </w:p>
    <w:p>
      <w:r>
        <w:t>IT: TF 9C 250/2024 del 10 giugno 2024</w:t>
      </w:r>
    </w:p>
    <w:p>
      <w:pPr>
        <w:pStyle w:val="Heading2"/>
      </w:pPr>
      <w:r>
        <w:t>Regeste</w:t>
      </w:r>
    </w:p>
    <w:p>
      <w:r>
        <w:t>Mehrwertsteuer, Steuerperioden 2015-2016 | Öffentliche Finanzen &amp; Abgaberecht</w:t>
      </w:r>
    </w:p>
    <w:p>
      <w:pPr>
        <w:pStyle w:val="Heading2"/>
      </w:pPr>
      <w:r>
        <w:t>Erwägungen</w:t>
      </w:r>
    </w:p>
    <w:p>
      <w:r>
        <w:rPr>
          <w:b/>
        </w:rPr>
        <w:t>E. 1.1</w:t>
      </w:r>
    </w:p>
    <w:p>
      <w:r>
        <w:t>Wie sich aus der Begründung der Beschwerde ergibt (vgl. zur Auslegung der Rechtsbegehren im Lichte der Begründung Urteil 8C_62/2018 vom 19. September 2018 E. 1.2.2, nicht publ. in: BGE 144 V 418 , aber in: SVR 2019 UV Nr. 12 S. 47), strebt die Beschwerdeführerin keine Neuberechnung der Mehrwertsteuern an. Vielmehr zielt sie gegen die im Zusammenhang mit den GU-Verträgen vom 17. Juli 2014 und 27. März 2015 vorgenommenen Nachbelastungen für die Steuerperioden 2015 und 2016; mithin beantragt sie sinngemäss einzig die Aufhebung des angefochtenen Urteils und des (diesem zugrunde liegenden und an die Stelle der Verfügung vom 11. August 2021 getretenen [vgl. BGE 133 V 50 E. 4.2.2; Urteil 9C_199/2023 vom 11. Dezember 2023 E. 1, nicht publ. in: BGE 150 V 1 ]) Einspracheentscheids vom 7. Dezember 2022.</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Das Bundesverwaltungsgericht hat erwogen, die B.________ GmbH habe ihren Betrieb bereits auf Ende Januar 2015 aufgegeben. Die Beschwerdeführerin habe deren operative Tätigkeit als Generalunternehmerin ab Februar 2015 übernommen und sei zufolge Vermögensübertragung hinsichtlich des GU-Vertrags vom 17. Juli 2014 Steuernachfolgerin der B.________ GmbH im Sinne von Art. 16 Abs. 2 MWSTG (SR 641.20) geworden. Sodann hat die Vorinstanz C.________ als mit den hier interessierenden Gesellschaften "eng verbundene Person" im Sinne von Art. 3 lit. h MWSTG betrachtet. Die Bemessungsgrundlage hinsichtlich der im Rahmen der GU-Verträge erbrachten Leistungen hat sie in Anwendung von Art. 24 Abs. 2 MWSTG (als sog. "Drittpreis") auf die Höhe der Werkpreise, wie sie ursprünglich in den GU-Verträgen vereinbart worden waren, festgelegt. Sie hat festgestellt, diese Preise hätten sich im Nachhinein weder als offensichtlich überhöht noch infolge Entgeltsminderung als falsch erwiesen. Weil die vertraglichen (Werk-) Leistungen an einen Nahestehenden erbracht worden seien, sei die hier interessierende Differenz zwischen den ursprünglich vereinbarten Werkpreisen und den von der Beschwerdeführerin diesbezüglich tatsächlich vereinnahmten (und bereits mehrwertsteuerbelasteten) Erträgen ohne Weiteres und unabhängig von der gewählten Abrechnungsmethode (vereinnahmt oder vereinbart) als tatsächliche Zahlung an die Beschwerdeführerin zu werten. Folglich hat das Bundesverwaltungsgericht die Nachbelastung der fraglichen Differenz als bundesrechtskonform bestätigt.</w:t>
      </w:r>
    </w:p>
    <w:p>
      <w:r>
        <w:rPr>
          <w:b/>
        </w:rPr>
        <w:t>E. 2.2</w:t>
      </w:r>
    </w:p>
    <w:p>
      <w:r>
        <w:t>Was die Beschwerdeführerin dagegen vorbringt, hält nicht stand. Anders als sie glauben machen will, hat das Bundesverwaltungsgericht berücksichtigt, dass sie die Mehrwertsteuer grundsätzlich nach vereinnahmtem Entgelt abrechnet und dass die tatsächlichen (und verbuchten) Einnahmen aus den GU-Verträgen erheblich geringer als die ursprünglich vereinbarten Werkpreise ausgefallen waren. Es hat auch nicht (ausdrücklich oder implizit) angenommen, eine nachträglich zwischen der Beschwerdeführerin und C.________ vereinbarte Änderung der GU-Verträge im Sinne einer Reduktion der Werkpreise sei unzulässig gewesen. Indessen hat es - unbestritten und für das Bundesgericht verbindlich (vgl. vorangehende E. 1.2) - festgestellt, dass die ursprünglich vereinbarten Werkpreise weder offensichtlich überhöht noch falsch gewesen seien. Daraus hat es geschlossen, dass sie - anders als die erheblich niedrigeren tatsächlichen Einnahmen - einem Drittvergleich standhalten würden und deshalb die zutreffende Bemessungsgrundlage im Sinne von Art. 24 Abs. 2 MWSTG darstellen. Eine daraus resultierende Bundesrechtsverletzung ist nicht ersichtlich, zumal ausser Frage steht, dass die GU-Verträge unter "eng verbundenen Personen" geschlossen wurden. Daran ändert auch nichts, wenn die kantonale Steuerverwaltung (wie von der Beschwerdeführerin behauptet) die ordnungsgemässe Verbuchung "sämtlicher Erträge" resp. "sämtlicher getätigten Leistungen" bestätigt haben sollte.</w:t>
      </w:r>
    </w:p>
    <w:p>
      <w:r>
        <w:rPr>
          <w:b/>
        </w:rPr>
        <w:t>E. 2.3</w:t>
      </w:r>
    </w:p>
    <w:p>
      <w:r>
        <w:t>Die Beschwerde ist offensichtlich unbegründet, weshalb sie im vereinfachten Verfahren nach Art. 109 Abs. 2 lit. a und Abs. 3 BGG mit summarischer Begründung und unter Hinweis auf das vorinstanzliche Urteil erledigt wird.</w:t>
      </w:r>
    </w:p>
    <w:p>
      <w:r>
        <w:rPr>
          <w:b/>
        </w:rPr>
        <w:t>E. 3</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