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250/2022 vom 26. Juli 2022</w:t>
      </w:r>
    </w:p>
    <w:p>
      <w:r>
        <w:t>Bundesgericht, 2022-07-26, IT</w:t>
      </w:r>
    </w:p>
    <w:p>
      <w:r>
        <w:rPr>
          <w:b/>
        </w:rPr>
        <w:t xml:space="preserve">Quelle: </w:t>
      </w:r>
      <w:r>
        <w:t>https://mcp.opencaselaw.ch/entscheid/bger_9C_250_2022</w:t>
      </w:r>
    </w:p>
    <w:p>
      <w:r>
        <w:t>FR: TF 9C 250/2022 du 26 juillet 2022</w:t>
      </w:r>
    </w:p>
    <w:p>
      <w:r>
        <w:t>IT: TF 9C 250/2022 del 26 luglio 2022</w:t>
      </w:r>
    </w:p>
    <w:p>
      <w:pPr>
        <w:pStyle w:val="Heading2"/>
      </w:pPr>
      <w:r>
        <w:t>Regeste</w:t>
      </w:r>
    </w:p>
    <w:p>
      <w:r>
        <w:t>Indennità di perdita di guadagno per chi presta servizio e in caso di maternità (Covid-19; presupposto processuale) | Indennità per perdita di guadagno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26 luglio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