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9C_250/2007 vom 18. Oktober 2007</w:t>
      </w:r>
    </w:p>
    <w:p>
      <w:r>
        <w:t>Bundesgericht, 2007-10-18, DE</w:t>
      </w:r>
    </w:p>
    <w:p>
      <w:r>
        <w:rPr>
          <w:b/>
        </w:rPr>
        <w:t xml:space="preserve">Quelle: </w:t>
      </w:r>
      <w:r>
        <w:t>https://mcp.opencaselaw.ch/entscheid/bger_9C_250_2007</w:t>
      </w:r>
    </w:p>
    <w:p>
      <w:r>
        <w:t>FR: TF 9C_250/2007 du 18 octobre 2007</w:t>
      </w:r>
    </w:p>
    <w:p>
      <w:r>
        <w:t>IT: TF 9C_250/2007 del 18 ottobre 2007</w:t>
      </w:r>
    </w:p>
    <w:p>
      <w:pPr>
        <w:pStyle w:val="Heading2"/>
      </w:pPr>
      <w:r>
        <w:t>Erwägungen</w:t>
      </w:r>
    </w:p>
    <w:p>
      <w:r>
        <w:rPr>
          <w:b/>
        </w:rPr>
        <w:t>E. 1</w:t>
      </w:r>
    </w:p>
    <w:p>
      <w:r>
        <w:t>Das Bundesgericht prüft seine Zuständigkeit bzw. die Zulässigkeit der bei ihm erhobenen Rechtsmittel von Amtes wegen und mit freier Kognition ( Art. 29 Abs. 1 BGG ; BGE 133 I 185 E. 2 S. 188 mit Hinweisen, 133 II 249 E. 1.1 S. 251). Es untersucht deshalb grundsätzlich von Amtes wegen, ob und inwiefern auf eine Beschwerde eingetreten werden kann. Immerhin ist die Beschwerde gemäss Art. 42 Abs. 1 und Abs. 2 BGG hinreichend zu begründen. Die Beschwerdeführerin hat darzulegen, dass die Eintretensvoraussetzungen gegeben sind. Soweit diese nicht ohne Weiteres ersichtlich sind, ist es nicht Aufgabe des Bundesgerichts, anhand der Akten oder weiterer, noch beizuziehender Unterlagen nachzuforschen, ob und inwiefern die Beschwerde zuzulassen ist (vgl. BGE 133 II 249 E. 1.1 S. 251).</w:t>
      </w:r>
    </w:p>
    <w:p>
      <w:r>
        <w:rPr>
          <w:b/>
        </w:rPr>
        <w:t>E. 2</w:t>
      </w:r>
    </w:p>
    <w:p>
      <w:r>
        <w:t>Die Gewährung der unentgeltlichen Verbeiständung für das Einspracheverfahren (Dispositiv-Ziffer 2 des angefochtenen Entscheids) blieb unangefochten. Damit hat sich das Bundesgericht nicht zu befassen.</w:t>
      </w:r>
    </w:p>
    <w:p>
      <w:r>
        <w:rPr>
          <w:b/>
        </w:rPr>
        <w:t>E. 3</w:t>
      </w:r>
    </w:p>
    <w:p>
      <w:r>
        <w:t>Dispositiv-Ziffer 1 des vorinstanzlichen Entscheids lautet auf Rückweisung und ist als Zwischenentscheid im Sinne des BGG zu qualifizieren (vgl. das zur Publikation in BGE 133 V bestimmte Urteil 9C_15/2007 vom 25. Juli 2007, E. 4.2). Er kann daher nur unter den Voraussetzungen des Art. 93 Abs. 1 BGG angefochten werden. Gemäss dieser Bestimmung ist die Beschwerde gegen andere (d.h. nicht die Zuständigkeit oder Ausstandsbegehren betreffende [vgl. Art. 92 BGG ]) selbstständig eröffnete Vor- und Zwischenentscheide nur zulässig: a) wenn sie einen nicht wieder gutzumachenden Nachteil bewirken können; oder b) wenn die Gutheissung der Beschwerde sofort einen Endentscheid herbeiführen und damit einen bedeutenden Aufwand an Zeit oder Kosten für ein weitläufiges Beweisverfahren ersparen würde (vgl. das zur Publikation in BGE 133 V bestimmte Urteil I 126/07 vom 6. August 2007, E. 1.1). Die selbstständige Anfechtbarkeit von Zwischenentscheiden aus prozessökonomischen Gründen bildet eine Ausnahme, die restriktiv anzuwenden ist ( BGE 118 II 91 E. 1b S. 92). Denn der Normzweck dieser Bestimmung liegt nebst der Vermeidung unnötigen Verfahrensaufwands darin zu verhindern, dass sich das Bundesgericht mehrmals mit der gleichen Streitsache zu befassen hat. Ein Rückweisungsentscheid, mit welchem die Sache zur neuen Abklärung und Entscheidung an die Vorinstanz zurückgewiesen wird, bewirkt in der Regel keinen nicht wieder gutzumachenden Nachteil im Sinne von Art. 93 Abs. 1 lit. a BGG , führt er doch bloss zu einer dieses Kriterium nicht erfüllenden Verlängerung des Verfahrens (vgl. Seiler/von Werdt/ Güngerich, Bundesgerichtsgesetz [BGG], Bern 2007, N 8 zu Art. 93). Ein nicht wieder gutzumachender Nachteil liegt nur vor, wenn das Rückweisungsurteil durch materielle Vorgaben den Beurteilungsspielraum der unteren Instanz wesentlich einschränkt und davon in der Folge nicht mehr abgewichen werden kann (zur Publikation in BGE 133 V bestimmtes Urteil 9C_15/2007 vom 25. Juli 2007, E. 5.2.2, BGE 129 I 313 E. 3.2 S. 317).</w:t>
      </w:r>
    </w:p>
    <w:p>
      <w:r>
        <w:rPr>
          <w:b/>
        </w:rPr>
        <w:t>E. 3.1</w:t>
      </w:r>
    </w:p>
    <w:p>
      <w:r>
        <w:t>Die Beschwerdeführerin setzt sich in der Beschwerdeschrift mit keinem Wort mit der Eintretensfrage auseinander. Sie legt insbesondere nicht dar, weshalb ein Ausnahmefall nach Art. 93 Abs. 1 lit. a oder b BGG vorliegen soll. Sie beruft sich weder auf einen nicht wieder gutzumachenden Nachteil noch auf die Möglichkeit eines sofortigen Endentscheides bei Gutheissung. Dass die Vorinstanz, welche die Sache wegen Unklarheiten in der Sachverhaltserhebung an die Beschwerdeführerin zur ergänzenden Abklärung zurückgewiesen hat, ihr materielle Vorgaben gemacht hätte, wird ebenfalls nicht geltend gemacht und ist auch nicht der Fall (vgl. E. 3d des angefochtenen Entscheides). Auf die Beschwerde kann daher nicht eingetreten werden (vgl. E. 1).</w:t>
      </w:r>
    </w:p>
    <w:p>
      <w:r>
        <w:rPr>
          <w:b/>
        </w:rPr>
        <w:t>E. 4</w:t>
      </w:r>
    </w:p>
    <w:p>
      <w:r>
        <w:t>Mit dem Entscheid in der Hauptsache wird das Gesuch um Erteilung der aufschiebenden Wirkung gegenstandslos.</w:t>
      </w:r>
    </w:p>
    <w:p>
      <w:r>
        <w:rPr>
          <w:b/>
        </w:rPr>
        <w:t>E. 5</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