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9C_24/2012 vom 31. Januar 2012</w:t>
      </w:r>
    </w:p>
    <w:p>
      <w:r>
        <w:t>Bundesgericht, 2012-01-31, DE</w:t>
      </w:r>
    </w:p>
    <w:p>
      <w:r>
        <w:rPr>
          <w:b/>
        </w:rPr>
        <w:t xml:space="preserve">Quelle: </w:t>
      </w:r>
      <w:r>
        <w:t>https://mcp.opencaselaw.ch/entscheid/bger_9C_24_2012</w:t>
      </w:r>
    </w:p>
    <w:p>
      <w:r>
        <w:t>FR: TF 9C_24/2012 du 31 janvier 2012</w:t>
      </w:r>
    </w:p>
    <w:p>
      <w:r>
        <w:t>IT: TF 9C_24/2012 del 31 gennaio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9C_24/2012 {T 0/2}</w:t>
      </w:r>
    </w:p>
    <w:p>
      <w:r>
        <w:t>Urteil vom 31. Januar 2012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 Fessler.</w:t>
      </w:r>
    </w:p>
    <w:p>
      <w:r>
        <w:t>Verfahrensbeteiligte</w:t>
      </w:r>
    </w:p>
    <w:p>
      <w:r>
        <w:t>R.________,</w:t>
      </w:r>
    </w:p>
    <w:p>
      <w:r>
        <w:t>Beschwerdeführer,</w:t>
      </w:r>
    </w:p>
    <w:p>
      <w:r>
        <w:t>gegen</w:t>
      </w:r>
    </w:p>
    <w:p>
      <w:r>
        <w:t>Swisscanto</w:t>
      </w:r>
    </w:p>
    <w:p>
      <w:r>
        <w:t>Freizügigkeitsstiftung der Kantonalbanken,</w:t>
      </w:r>
    </w:p>
    <w:p>
      <w:r>
        <w:t>St. Alban-Anlage 26, 4002 Basel,</w:t>
      </w:r>
    </w:p>
    <w:p>
      <w:r>
        <w:t>Beschwerdegegnerin.</w:t>
      </w:r>
    </w:p>
    <w:p>
      <w:r>
        <w:t>Gegenstand</w:t>
      </w:r>
    </w:p>
    <w:p>
      <w:r>
        <w:t>Berufliche Vorsorge,</w:t>
      </w:r>
    </w:p>
    <w:p>
      <w:r>
        <w:t>Beschwerde gegen den Entscheid des Versicherungsgerichts des Kantons Solothurn</w:t>
      </w:r>
    </w:p>
    <w:p>
      <w:r>
        <w:t>vom 28. November 2011.</w:t>
      </w:r>
    </w:p>
    <w:p>
      <w:r>
        <w:t>Nach Einsicht</w:t>
      </w:r>
    </w:p>
    <w:p>
      <w:r>
        <w:t>in die Beschwerde in öffentlich-rechtlichen Angelegenheiten des R.________ (Eingaben vom 9. und 16. Januar 2012 [Poststempel]) gegen den Entscheid des Versicherungsgerichts des Kantons Solothurn vom 28. November 2011,</w:t>
      </w:r>
    </w:p>
    <w:p>
      <w:r>
        <w:t>in Erwägung,</w:t>
      </w:r>
    </w:p>
    <w:p>
      <w:r>
        <w:t>dass gemäss Art. 42 Abs. 1 und 2 BGG die Beschwerde unter anderem die Begehren und deren Begründung zu enthalten hat, wobei in der Begründung in gedrängter Form darzulegen ist, inwiefern der angefochtene Akt Recht verletzt,</w:t>
      </w:r>
    </w:p>
    <w:p>
      <w:r>
        <w:t>dass die Eingaben vom 9. und 16. Januar 2012 diesen inhaltlichen Mindestanforderungen offensichtlich nicht genügen, weil darin eine Auseinandersetzung mit den Erwägungen des angefochtenen Entscheids gänzlich fehlt (Urteile 9C_842/2010 vom 26. Januar 2011 E.5.4 und 4A_ 22/2008 vom 10. April 2008 E. 1 mit Hinweisen),</w:t>
      </w:r>
    </w:p>
    <w:p>
      <w:r>
        <w:t>dass der Beschwerdeführer nicht darlegt, inwiefern das Vorbringen, er habe von der Beschwerdegegnerin die falsche Auskunft erhalten, der seiner früheren Ehefrau zugesprochene Teil des Freizügigkeitsguthabens ( Art. 122 ZGB ) sei abgebucht, erst durch den angefochtenen Entscheid rechtswesentlich wurde und nicht bereits im vorinstanzlichen Verfahren eingebracht werden konnte und musste, weshalb es ausser Betracht zu bleiben hat ( Art. 99 Abs. 1 BGG ; SVR 2011 EL Nr. 6 S. 17, 9C_972/2009 E. 4.2; Urteil 9C_697/2011 vom 16. November 2011 E. 2.2),</w:t>
      </w:r>
    </w:p>
    <w:p>
      <w:r>
        <w:t>dass die offensichtlich ungenügende Beschwerde im vereinfachten Verfahren nach Art. 108 Abs. 1 lit. b BGG erledigt wird,</w:t>
      </w:r>
    </w:p>
    <w:p>
      <w:r>
        <w:t>dass von der Erhebung von Gerichtskosten umständehalber abzusehen ist ( Art. 66 Abs. 1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Solothurn und dem Bundesamt für Sozialversicherungen, Aufsicht Berufliche Vorsorge, schriftlich mitgeteilt.</w:t>
      </w:r>
    </w:p>
    <w:p>
      <w:r>
        <w:t>Luzern, 31. Januar 2012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Meyer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