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248/2014 vom 18. Dezember 2014</w:t>
      </w:r>
    </w:p>
    <w:p>
      <w:r>
        <w:t>Bundesgericht, 2014-12-18, DE</w:t>
      </w:r>
    </w:p>
    <w:p>
      <w:r>
        <w:rPr>
          <w:b/>
        </w:rPr>
        <w:t xml:space="preserve">Quelle: </w:t>
      </w:r>
      <w:r>
        <w:t>https://mcp.opencaselaw.ch/entscheid/bger_9C_248_2014</w:t>
      </w:r>
    </w:p>
    <w:p>
      <w:r>
        <w:t>FR: TF 9C 248/2014 du 18 décembre 2014</w:t>
      </w:r>
    </w:p>
    <w:p>
      <w:r>
        <w:t>IT: TF 9C 248/2014 del 18 dicembre 2014</w:t>
      </w:r>
    </w:p>
    <w:p>
      <w:pPr>
        <w:pStyle w:val="Heading2"/>
      </w:pPr>
      <w:r>
        <w:t>Regeste</w:t>
      </w:r>
    </w:p>
    <w:p>
      <w:r>
        <w:t>Berufliche Vorsorge | Berufliche Vorsorge</w:t>
      </w:r>
    </w:p>
    <w:p>
      <w:pPr>
        <w:pStyle w:val="Heading2"/>
      </w:pPr>
      <w:r>
        <w:t>Erwägungen</w:t>
      </w:r>
    </w:p>
    <w:p>
      <w:r>
        <w:rPr>
          <w:b/>
        </w:rPr>
        <w:t>E. 1</w:t>
      </w:r>
    </w:p>
    <w:p>
      <w:r>
        <w:t>Die Vorinstanz hat mit Zwischenentscheid vom 10. November 2011 ihre sachliche Zuständigkeit bejaht. Dieser Zwischenentscheid basiert auf sogenannten doppelrelevanten Tatsachen (vgl. dazu BGE 135 V 373 E. 3.4 S. 381). In Anbetracht des Verfahrensausgangs kann offen bleiben, ob (auch) bei diesem Umstand das Recht zur späteren Anfechtung verwirkt ist (vgl. Art. 92 Abs. 2 BGG ), was mit Urteil 4A_430/2007 vom 11. Dezember 2007 E. 1.1 und E. 4 lediglich impliziert wird. Das kantonale Gericht ist so oder anders für die vorliegende Streitsache sachlich zuständig (vgl. E. 4 hinten).</w:t>
      </w:r>
    </w:p>
    <w:p>
      <w:r>
        <w:rPr>
          <w:b/>
        </w:rPr>
        <w:t>E. 2.1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2.1.1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2.1.2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fällt auch der Experte für berufliche Vorsorge, der zu den mit der Kontrolle betrauten Personen gehört (SVR 2010 BVG Nr. 5 S. 17, 9C_421/2009 E. 3.1 mit Hinweisen auf die Lehre).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118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der Stiftung (gegenüber den Versicherten) sicherstellen muss und alsdann als Haftender für den Schaden, der ihm durch die Sicherstellung entstanden ist, die Verantwortlichen direkt regressweise belangen kann (Innenverhältnis der Stiftung),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3.3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 hinten).</w:t>
      </w:r>
    </w:p>
    <w:p>
      <w:r>
        <w:rPr>
          <w:b/>
        </w:rPr>
        <w:t>E. 4</w:t>
      </w:r>
    </w:p>
    <w:p>
      <w:r>
        <w:t>Die Vorinstanz hat für das Bundesgericht verbindlich und richtig festgestellt (vgl. E. 2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Funktion des Beschwerdeführers als BVG-Experte resp. Kontrollperson steht hier Art. 52 Abs. 1 BVG als Anspruchsgrundlage im Vordergrund (vgl. E. 3.1.2 vorne). Der Beschwerdeführer wird aber auch gestützt auf Art. 56a BVG ins Recht gefasst (kantonaler Entscheid E. 5.4 S. 305).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 Dabei wird nicht über den gesetzlich obliegenden Aufgabenbereich hinausgegangen (vgl. E. 6 hinten).</w:t>
      </w:r>
    </w:p>
    <w:p>
      <w:r>
        <w:rPr>
          <w:b/>
        </w:rPr>
        <w:t>E. 5.1</w:t>
      </w:r>
    </w:p>
    <w:p>
      <w:r>
        <w:t>Was den Schaden betrifft, so hat die Vorinstanz dessen Begriff nicht verkannt. Wohl hat sie weder den hypothetischen noch tatsächlichen Vermögensstand berechnet (vgl. dazu Urteile 9C_997/2009 vom 31. Mai 2010 E. 8.1; 9C_238/2009 vom 11. September 2009 E. 3.1). Vielmehr ist sie direkt von der Summe der - unrechtmässigen (vgl. E. 5.2.3 nachfolgend) - Mittelabflüsse als Schaden ausgegangen. Dies ist jedoch lediglich eine "umgekehrte" Berechnungsweise, die am Ergebnis nichts ändert. Denn bei der Subtraktion des tatsächlichen Stiftungsvermögens vom hypothetischen Stiftungsvermögen (einbezahlte Gelder zuzüglich Verzinsung minus rechtmässige Abflüsse) resultieren hier die (gleichen) unrechtmässigen Geldabflüsse einfach als Differenz. Der Schaden bleibt demnach auch bei der vorinstanzlichen Berechnungsweise ein (einziger) Schaden, bestehend aus mehreren Schadenspositionen, und mutiert nicht zu einer Mehrzahl von (voneinander unabhängigen) Einzelschäden. Soweit der Beschwerdeführer unter Hinweis auf BGE 139 V 176 E. 11 S. 192 f. geltend macht, dass verschiedene Gründe hinter einer Verminderung des Stiftungsvermögens stehen können, so berührt dieser Umstand vor allem die Frage nach dem Kausalzusammenhang (vgl. dazu E. 8 hinten). Abgesehen davon steht in concreto ein Schaden zur Diskussion, der allein rechtsgrundloses Handeln zum Gegenstand hat (vgl. E. 5.2.3 nachfolgend).</w:t>
      </w:r>
    </w:p>
    <w:p>
      <w:r>
        <w:rPr>
          <w:b/>
        </w:rPr>
        <w:t>E. 5.2.1</w:t>
      </w:r>
    </w:p>
    <w:p>
      <w:r>
        <w:t>Das kantonale Gericht hat erwogen, die Abflüsse der Stiftung seien bis zur Höhe von Fr. 30'553'230.39 ausreichend substanziiert (E. 4.3.4.6 i.f. S. 65 des angefochtenen Entscheids). Der Beschwerdeführer bemängelt, die "ausreichende Substanziierung" des Beschwerdegegners ergebe sich nicht aus den Rechtsschriften, sondern sei aus den Prozessakten zusammengesucht.</w:t>
      </w:r>
    </w:p>
    <w:p>
      <w:r>
        <w:rPr>
          <w:b/>
        </w:rPr>
        <w:t>E. 5.2.2</w:t>
      </w:r>
    </w:p>
    <w:p>
      <w:r>
        <w:t>Im Klageverfahren nach Art. 73 Abs. 1 BVG unterscheiden sich Inhalt und Tragweite der Mitwirkungspflicht der Parteien nicht nach dem Streitgegenstand. Ob es um Beiträge, Leistungen oder Schadenersatz geht, die Behauptungs- und Bestreitungspflicht bleibt sich grundsätzlich gleich ( BGE 139 V 176 E. 5.2 S. 185; 138 V 86 E. 5.2.3 S. 97). Mithin gilt für den Schadenersatzprozess wie für den Beitragsprozess, dass die Forderung soweit zu substanziieren ist, dass sie überprüft werden kann. Darüber hinaus ist der eingeklagte Forderungsbetrag zeitlich und masslich zu spezifizieren, also gestützt auf eine Forderungsübersicht zu behaupten, wie er sich zusammensetzt. In diesem Zusammenhang verbietet es sich, dass das Berufsvorsorgegericht selber in den Akten nach denjenigen Positionen, die für die Beitragshöhe von Belang sind, forschen und eruieren muss, wie der Forderungsbetrag ermittelt wird (Urteil 9C_314/2008 vom 25. August 2008 E. 3.2). Die Vorinstanz hat - in für das Bundesgericht verbindlicher Weise (vgl. E. 2.1 vorne) - festgestellt, dass sämtliche direkten Mittelabflüsse aus der Stiftung ausführlich aufgelistet sind (angefochtener Entscheid E. 4.3.4 S. 59 Abs. 2). Ausserdem vermochte sie den Forderungsbetrag in der Höhe von Fr. 30'553'230.39 anhand der Akten leicht nachzuvollziehen (a.a.O. E. 4.3.4.1 ff. S. 59-65). Es ist daher nicht ersichtlich, welcher weitergehenden Erläuterungen es seitens des Beschwerdegegners bedurft hätte.</w:t>
      </w:r>
    </w:p>
    <w:p>
      <w:r>
        <w:rPr>
          <w:b/>
        </w:rPr>
        <w:t>E. 5.2.3</w:t>
      </w:r>
    </w:p>
    <w:p>
      <w:r>
        <w:t>Nach Darlegung der Vorinstanz hat der Beschwerdeführer die Abflüsse nicht substanziiert bestritten (a.a.O. E. 4.3.4.6 i.f. S. 65); ebenso wenig hat er eingewendet, die Abflüsse seien rechtmässig gewesen (a.a.O. E. 4.3.5 S. 65). Der Beschwerdeführer widerspricht diesen Feststellungen, die für das Bundesgericht verbindlich sind (vgl. E. 2.1 vorne), an und für sich nicht. Entsprechend erübrigt sich die Frage nach dem Beweis der einzelnen Positionen resp. nach demjenigen ihrer Unrechtmässigkeit. Dasselbe gilt für die Frage nach dem Beweiswert des Berichts des Wirtschaftsprüfers Z.________ zuhanden der Untersuchungsbehörde, zumal die Beweis (wert) frage davon abhängt, ob die beklagte Partei die Schadenersatzforderung überhaupt substanziiert bestreitet (Urteil 9C_314/2008 vom 25. August 2008 E. 3.2). Soweit der Beschwerdeführer vorbringt, er habe seine Bestreitungen nicht zusätzlich substanziieren können, da er weder an den Mittelabflüssen beteiligt gewesen sei noch sonst über Hintergrundkenntnisse verfügt habe, lässt er ausser Acht, dass sich in der Klage aufschlussreiche Anmerkungen zu den einzelnen Positionen finden. Der Beschwerdeführer hat jedoch nicht einmal ansatzweise erkennen lassen, weshalb - im Umfang oder im Bestand - er die Forderungsbeträge nicht gelten lassen will.</w:t>
      </w:r>
    </w:p>
    <w:p>
      <w:r>
        <w:rPr>
          <w:b/>
        </w:rPr>
        <w:t>E. 5.3</w:t>
      </w:r>
    </w:p>
    <w:p>
      <w:r>
        <w:t>Die Vorinstanz hat nicht die Augen davor verschlossen, dass allenfalls Mittel, die im Strafverfahren beschlagnahmt worden sind, dereinst an die Stiftung zurückfliessen. Sie hielt es jedoch für unwahrscheinlich, dass sich der Schadensbetrag wesentlich verringern wird, da u.a. weder ein bestimmter Betrag der beschlagnahmten Vermögenswerte genannt noch dargetan werde, dass es diesbezüglich keine konkurrierenden Ansprüche gibt (E. 4.3.6.3 S. 87 f. des kantonalen Entscheids). Der Einwand des Beschwerdeführers, er habe zwar Einsicht in das 185-seitige Strafurteil vom 15. Oktober 2013 gehabt, aber keine "Scans" oder Fotografien machen dürfen, weshalb er die vom kantonalen Gericht verlangten Details nicht habe vorbringen können, kann nicht gehört werden. Ob, wie viel und zu wessen Gunsten die im Strafverfahren beschlagnahmten Werte gehen, ist Teil eines jeden strafgerichtlichen Dispositivs. Für den Beschwerdeführer wäre es daher ein Leichtes gewesen, seine Behauptungen zu substanziieren, ohne dass es dafür des stundenlangen Studiums des ganzen Strafurteils bedurft hätte. Dass sich der eingeklagte Schaden infolge Freigabe der beschlagnahmten Gelder noch reduzieren könnte, ist auch deshalb unwahrscheinlich, weil hier lediglich über einen Teilschaden befunden wird (vgl. Sachverhalt lit. B.a Abs. 2). Der Fehlbetrag im Zeitpunkt der Aufhebung der Stiftung lag über 33 Mio. Fr. (vgl. Sachverhalt lit. A.b Abs. 2) und hat sich seit dem Liquidationsbeschluss um mindestens weitere 2,6 Mio. Fr. erhöht, wie die Vorinstanz für das Bundesgericht verbindlich (E. 2.1 vorne) festgestellt hat (angefochtener Entscheid E. 4.3.6.3 i.f. S. 88). Grundsätzlich ebenfalls als Schaden zu berücksichtigen wäre zudem der (ebenfalls eingeklagte) entgangene Gewinn bzw. die entgangene Rendite. Der Vorinstanz lässt sich demnach so oder anders kein Vorwurf machen, dass sie auf die Edition des Strafurteils vom 15. Oktober 2013 verzichtet hat. Eine Verletzung des rechtlichen Gehörs oder des Untersuchungsgrundsatzes oder aber von Art. 42 f. OR ist in diesem Zusammenhang zu verneinen.</w:t>
      </w:r>
    </w:p>
    <w:p>
      <w:r>
        <w:rPr>
          <w:b/>
        </w:rPr>
        <w:t>E. 6</w:t>
      </w:r>
    </w:p>
    <w:p>
      <w:r>
        <w:t>Dem Beschwerdeführer wird vorgeworfen, er hätte unter dem Aspekt der Anlageorganisation die (angebliche) Bankgarantie prüfen müssen. Es ist unbestritten, dass diese die Vorsorgegelder und die Verzinsung absichern sollte.</w:t>
      </w:r>
    </w:p>
    <w:p>
      <w:r>
        <w:rPr>
          <w:b/>
        </w:rPr>
        <w:t>E. 6.1.1</w:t>
      </w:r>
    </w:p>
    <w:p>
      <w:r>
        <w:t>Hinsichtlich der gesetzlichen Obliegenheiten des BVG-Experten sieht Art. 53 Abs. 2 BVG in der hier massgebenden, bis Ende 2011 gültigen Fassung Folgendes vor: Die Vorsorgeeinrichtung hat durch einen anerkannten Experten für berufliche Vorsorge periodisch überprüfen zu lassen, ob die Vorsorgeeinrichtung jederzeit Sicherheit dafür bietet, dass sie ihre Verpflichtungen erfüllen kann (lit. a) und ob die reglementarischen versicherungstechnischen Bestimmungen über die Leistungen und die Finanzierung den gesetzlichen Vorschriften entsprechen (lit. b). Der Experte muss unabhängig sein. Er darf gegenüber Personen, die für die Geschäftsführung oder Verwaltung der Vorsorgeeinrichtung verantwortlich sind, nicht weisungsgebunden sein ( Art. 40 BVV 2 in der ebenfalls bis Ende 2011 gültigen Fassung). Er muss bei der Ausübung seines Mandates die Weisungen der Aufsichtsbehörde befolgen. Er muss die Aufsichtsbehörde unverzüglich orientieren, wenn die Lage der Vorsorgeeinrichtung ein rasches Einschreiten erfordert oder wenn sein Mandat abläuft ( Art. 41 BVV 2 ). Liegt eine Unterdeckung vor, erstellt der Experte jährlich einen versicherungstechnischen Bericht ( Art. 41a Abs. 1 BVV 2 , in Kraft seit 1. Januar 2005). Die Vorinstanz hat diese Hauptaufgaben des BVG-Experten unter Bezugnahme auf die Lehre sowie die - im hier fraglichen Zeitraum geltenden - Grundsätze und Richtlinien der Standesorganisation der Pensionskassen-Experten (kurz: GR 2000) näher umschrieben (E. 4.9.1.5 S. 264-267 des angefochtenen Entscheids). Darauf kann vollumfänglich verwiesen werden.</w:t>
      </w:r>
    </w:p>
    <w:p>
      <w:r>
        <w:rPr>
          <w:b/>
        </w:rPr>
        <w:t>E. 6.1.2</w:t>
      </w:r>
    </w:p>
    <w:p>
      <w:r>
        <w:t>Obwohl die Begriffe "periodisch" und "jederzeit" in einem gewissen Spannungsverhältnis stehen, lässt sich nicht sagen, aArt. 53 Abs. 2 lit. a BVG beinhalte lediglich ein punktuelles und spezifisches Tätigwerden. Anhand einer periodischen Überprüfung lässt sich nicht ausreichend garantieren, dass die Vorsorgeeinrichtung wirklich jederzeit Gewähr bietet, ihre Verpflichtungen zu erfüllen. Im Rahmen der BVG-Strukturreform, die am 1. Januar 2012 in Kraft getreten ist, wurde zwar der Zusatz "jederzeit" gestrichen (vgl. Art. 52e Abs. 1 lit. a BVG ). Hauptgrund, weshalb der Gesetzgeber auf den Begriff der Jederzeitigkeit verzichtet hat, ist jedoch nicht die begriffliche Widersprüchlichkeit. Anlass dazu hat vor allem Art. 65c Abs. 1 BVG gegeben, der in Abweichung vom allgemeinen Grundsatz, dass die Vorsorgeeinrichtungen jederzeit Sicherheit dafür bieten müssen, die übernommenen Verpflichtungen erfüllen zu können ( Art. 65 Abs. 1 BVG ), eine temporäre Unterdeckung zulässt (Botschaft vom 15. Juni 2007 zur Änderung des Bundesgesetzes über die berufliche Alters-, Hinterlassenen- und Invalidenvorsorge [Strukturreform] BBl 2007 5669, 5701 Ziff. 2.1). Sinn und Zweck von aArt. 53 Abs. 2 lit. a BVG ist somit (auch), die finanzielle Sicherheit der Stiftung fortdauernd zu verfolgen.</w:t>
      </w:r>
    </w:p>
    <w:p>
      <w:r>
        <w:rPr>
          <w:b/>
        </w:rPr>
        <w:t>E. 6.1.3</w:t>
      </w:r>
    </w:p>
    <w:p>
      <w:r>
        <w:t>Gemäss Art. 3 Abs. 2 des Mandatsvertrags vom 13. Mai 2003 war der Beschwerdeführer wohl nicht verpflichtet, von sich aus ein versicherungstechnisches Gutachten zu erstellen. Diese Arbeit übernahm er "auf Anfrage" hin. Dessen ungeachtet sind er und die Stiftung ein Dauerverhältnis eingegangen, das die laufende Überwachung ihrer finanziellen Sicherheit im vorgenannten (gesetzlichen) Sinne (vgl. E. 6.1.2 vorne) zum Inhalt hatte. Insoweit bildet der besagte Mandatsvertrag einziger und alleiniger Auftrag, ohne dass ein spezifizierter Einsatzauftrag erforderlich gewesen wäre. Dies ergibt sich zum einen im Zusammenhang mit dem Zweckartikel 1, in welchem das Mandat zur Ausübung der Expertentätigkeit in der beruflichen Vorsorge übergeben wird, und mit Artikel 5, in welchem festgehalten wird, dass die Stiftung dem Experten laufend alle Informationen und Dokumente, die zur Ausübung des Expertenmandats notwendig sind, übermittelt. Zum andern handelt Art. 3 Abs. 2 unmissverständlich von "zusätzliche (n) Arbeiten". Lagen somit Anhaltspunkte vor, dass die Stiftung ihre Verpflichtungen unter Umständen nicht hätte erfüllen können, durfte der Experte nicht untätig bleiben.</w:t>
      </w:r>
    </w:p>
    <w:p>
      <w:r>
        <w:rPr>
          <w:b/>
        </w:rPr>
        <w:t>E. 6.1.4</w:t>
      </w:r>
    </w:p>
    <w:p>
      <w:r>
        <w:t>In den ersten 15 Jahren nach Einführung des BVG konzentrierte sich der Experte weitgehend auf die Beurteilung der Verpflichtungen der Vorsorgeeinrichtung und damit auf die Passivseite der Bilanz. Die Kapitalanlagen und -erträge wurden als gegeben und gleichsam garantiert betrachtet. Zentrale Aufgabe des Experten waren die Berechnung der Deckungskapitalien und Rückstellungen und darauf gestützt die Erstellung der (statischen) versicherungstechnischen Bilanz. Die Veränderungen auf den Anlagemärkten anfangs 2000 (Platzen der sog. Dotcom-Blase) haben jedoch gezeigt, dass die dem Experten vom Gesetzgeber übertragene Prüfungsfunktion zwingend eine gesamtheitliche und dynamische Betrachtung von Aktiv- und Passivseite der Bilanz verlangt ( THEODOR KELLER, Kosten und Nutzen des Pensionsversicherungsexperten, Die Rolle des Experten im Wandel der Zeit, in: Schweizer Personalvorsorge [SPV] 9/2010 S. 34 f.). Im Urteil 9C_421/2009 vom 29. September 2009 (publ. in: SVR 2010 BVG Nr. 5 S. 17) hat das Bundesgericht wohl festgehalten, dass die Bewertung der Aktiven nicht in erster Linie Sache des BVG-Experten ist (E. 7.5). Damit hat es jedoch nicht gesagt, dass er sich gar nicht um die Aktivseite zu kümmern braucht. Auch die GR 2000 sprechen dafür, dass der BVG-Experte die Anlagen und die Anlagestrategie einer Vorsorgeeinrichtung zu beachten hat. So muss er nach deren Art. 14 auf die Beziehung zwischen den Kapitalanlagen und den entsprechenden Verpflichtungen achten. Er berücksichtigt dabei die Struktur der Kapitalanlagen und die Fristigkeiten aus den Vorsorgeverpflichtungen. Insbesondere hat er das Vorhandensein und die Höhe einer Wertschwankungsreserve zur Absicherung der von der Vorsorgeeinrichtung gewählten Anlagestrategie in seine Überprüfung gemäss Art. 53 Abs. 2 lit. a BVG einzubeziehen. Der Beschwerdeführer hat denn auch vor Vorinstanz selber eingeräumt, dass es zu seinen Pflichten gehörte, das Anlagekonzept zu prüfen (E. 4.9.1.10 S. 276 f. des kantonalen Entscheids). Die Aufgaben des BVG-Experten unterscheiden sich demnach von denjenigen der Kontrollstelle ( Art. 53 Abs. 1 BVG ; Art. 35 ff. BVV 2 ; SVR 2010 BVG Nr. 5 S. 17, 9C_421/2009, E. 5.3 i.f.).</w:t>
      </w:r>
    </w:p>
    <w:p>
      <w:r>
        <w:rPr>
          <w:b/>
        </w:rPr>
        <w:t>E. 6.1.5</w:t>
      </w:r>
    </w:p>
    <w:p>
      <w:r>
        <w:t>Beim BSV, der damaligen Aufsichtsbehörde, hatte sich in den hier fraglichen Jahren die Praxis gefestigt, dass mindestens alle 3 Jahre entweder ein Expertengutachten oder eine Expertenbestätigung einzureichen war. Diese Periodizität gelte aber nicht im Falle von Unterdeckungen im Sinne von Art. 44 BVV 2 (Schreiben des BSV betreffend die Berichterstattung 2004 vom 19. Januar 2005 S. 3 Ziff. 3). Diesfalls gilt von Gesetzes wegen eine jährliche Überprüfungspflicht (vgl. E. 6.1.1 vorne). Mit diesem Informationsschreiben schloss das BSV jedoch klarerweise weder einen höheren Rhythmus noch eine frühere Überprüfung im Sinne von aArt. 53 Abs. 2 lit. a BVG aus. Es stellt lediglich eine Mindestvorgabe - gegenüber der Aufsichtsbehörde - dar (vgl. Art. 62 Abs. 1 lit. c BVG ). So wurde auch in Art. 12 Abs. 3 GR 2000 empfohlen, eine häufigere Überprüfung zu erstellen, wenn besondere Entwicklungen im Versichertenbestand oder in der Wirtschaft dies wegen Abweichungen zu den früher getroffenen Annahmen notwendig machen oder aber wenn praktische Gründe dafür sprechen. Mit anderen Worten ist die Kontrolle des BVG-Experten nach aArt. 53 Abs. 2 lit. a BVG nicht nur eine "Offizialtätigkeit" auf "Bestellung" der Aufsichtsbehörde. Vielmehr kann sie - bei begründetem Anlass - auch selbstbestimmt (sua sponte) geboten sein. Eine solche Notwendigkeit hatte der Beschwerdeführer im Auge zu behalten und die Stiftung entsprechend darauf aufmerksam zu machen (vgl. E. 6.1.3 vorne).</w:t>
      </w:r>
    </w:p>
    <w:p>
      <w:r>
        <w:rPr>
          <w:b/>
        </w:rPr>
        <w:t>E. 6.2.1</w:t>
      </w:r>
    </w:p>
    <w:p>
      <w:r>
        <w:t>Dass der BVG-Experte im Gründungsstadium einer Stiftung im Sinne von aArt. 53 Abs. 2 lit. b BVG kontrolliert, ob die reglementarischen versicherungstechnischen Bestimmungen über Leistung und Finanzierung den gesetzlichen Vorschriften entsprechen, liegt auf der Hand. Demgegenüber ist mangels erster Anschlüsse nicht zwingend, dass bei der Gründung einer Pensionskasse auch eine umfassende Überprüfung der finanziellen Sicherheit mittels einer versicherungstechnischen Bilanz erforderlich ist. Dies heisst jedoch nicht, dass den BVG-Experten in der Gründungsphase überhaupt keine Überprüfungspflicht im Sinne von lit. a der zitierten Gesetzesbestimmung trifft (vgl. Art. 6 lit. a BVV 1 in der hier massgebenden, bis Ende 2011 gültigen Fassung).</w:t>
      </w:r>
    </w:p>
    <w:p>
      <w:r>
        <w:rPr>
          <w:b/>
        </w:rPr>
        <w:t>E. 6.2.2</w:t>
      </w:r>
    </w:p>
    <w:p>
      <w:r>
        <w:t>Der Beschwerdeführer bestreitet die vorinstanzliche Feststellung, er habe darum gewusst, dass die Stiftung die Vorsorgegelder und zumindest die Mindestverzinsung sämtlicher Altersguthaben mittels der Bankgarantie absichern wollte (vgl. dazu auch E. 6.2.3.1 nachfolgend), nicht (E. 4.9.1.10 S. 274 des angefochtenen Entscheids). "Das Konzept der Anlage der Altersguthaben bei zugelassenen Banken mit Garantien betreffend Substanzerhalt und Zins" war ihm jedoch nicht klar, weshalb er mit Schreiben vom 21. September 2003 die Stiftung um Dokumentation mit den konkreten Verträgen gebeten hatte. Auf Weiterungen verzichtete er jedoch. Nach den für das Bundesgericht verbindlichen Feststellungen der Vorinstanz (vgl. E. 2.1 vorne) hatte der Beschwerdeführer weder je abgeklärt, ob es die Bankgarantie überhaupt gab, noch von wem die Garantie abgegeben wurde, worauf sie sich bezog und wie sie ausgestaltet war (E. 4.9.1.13 S. 289 des angefochtenen Entscheids). Dazu bestand aber insoweit Anlass, als die Deckung der Risiken resp. ihre Überprüfung einen Teilaspekt der finanziellen Sicherheit gemäss aArt. 53 Abs. 2 lit. a BVG darstellen. Dazu gehört bei einer halbautonomen (Sammel-) Stiftung, wie in concreto (a.a.O. E. 4.9.1.7 S. 270), primär die Frage nach Art und Umfang der Rückversicherung für die Risiken Tod und Invalidität. Aber auch die Bankgarantie diente der Risikodeckung, nämlich - vordergründig - des Anlage- oder Volatilitätsrisikos und - hintergründig - der Deckung des Risikos Alter. Mit einer garantierten, das heisst risikolosen Mindestverzinsung konnte die Stiftung die Gefahr ausschliessen, auf Grund von Marktschwankungen dereinst nicht in der Lage zu sein, die versprochenen Altersleistungen zu erbringen (a.a.O. E. 4.9.1.10 S. 275). Entsprechend oblag dem Beschwerdeführer, vor der Registrierung nicht nur abzuklären, ob die Stiftung die in den Reglementen versprochenen Leistungen tatsächlich auch bei der Rückversicherung abgesichert hatte, welche Überprüfungspflicht unbestritten ist (a.a.O. E. 4.9.1.10 S. 277 f.). Er hätte auch prüfen müssen, ob tatsächlich eine Bankgarantie abgegeben wurde.</w:t>
      </w:r>
    </w:p>
    <w:p>
      <w:r>
        <w:rPr>
          <w:b/>
        </w:rPr>
        <w:t>E. 6.2.3</w:t>
      </w:r>
    </w:p>
    <w:p>
      <w:r>
        <w:t>Es bestand aber auch nach der Registrierung vom 24. November 2003 Handlungsbedarf:</w:t>
      </w:r>
    </w:p>
    <w:p>
      <w:r>
        <w:rPr>
          <w:b/>
        </w:rPr>
        <w:t>E. 6.2.3.1</w:t>
      </w:r>
    </w:p>
    <w:p>
      <w:r>
        <w:t>Die Finanzmärkte waren eingangs des 21. Jahrhunderts im Tief (vgl. E. 6.1.4 vorne). In seinem Schreiben vom 21. September 2003 (vgl. E. 6.2.2 vorne) hatte der Beschwerdeführer angefügt: "Im Sinne der Sicherstellung der Verpflichtungen der Vorsorgeeinrichtung empfehle ich Ihnen zudem in die Dokumente und Werbeunterlagen keine Garantien aufzunehmen resp. zu erwähnen". Dessen ungeachtet garantierte die Stiftung - sowohl auf dem BVG-Anteil als auch auf dem Überobligatorium - einen um 0,5 % höheren Zins als gesetzlich ( Art. 12 lit. c und d BVV 2 ) vorgeschrieben (im Jahr 2004 2,75 % statt 2,25 %, im Jahr 2005 3,0 % statt 2,5 %). Diese konstante Höherverzinsung, die - für das Bundesgericht verbindlich festgestellt (vgl. E. 2.1 vorne) - spätestens nach Ablauf des ersten Geschäftsjahrs Ende 2004 nicht mehr dem vom Beschwerdeführer geprüften Vorsorgerelement entsprach (vorinstanzlicher Entscheid E. 4.9.1.11 S. 286 oben), erhellt nicht nur aus dem Werbeprospekt, sondern auch aus dem Anhang zur (provisorischen) Jahresrechnung 2004 vom 12. Mai 2005 (Ziff. 7.3.1), die dem Beschwerdeführer gemäss Akten im Juni 2005 vorlag; nach nicht offensichtlich unrichtiger Feststellung der Vorinstanz (vgl. E. 2.1 vorne) zudem spätestens aus dem Juni-Reporting der Stiftung zuhanden der Aufsichtsbehörde, das der Beschwerdeführer anfangs Juli erhalten hatte (a.a.O. E. 4.9.1.11 S. 281 Abs. 2). Ferner konnte, da die Stiftung erst im Aufbau war und - mit Hilfe ihrer Verzinsungspolitik - auf Neuakquisitionen setzen musste, nicht von Stetigkeit im Versichertenbestand ausgegangen werden. Die Verpflichtungen (und damit die Verzinsungslast) wuchsen kontinuierlich an. Der Schluss der Vorinstanz, dem Beschwerdeführer habe spätestens im Juli 2005 bewusst sein müssen, dass die Stiftung die Altersguthaben der Versicherten zum Voraus höher verzinste als zum BVG-Mindestzinssatz (vorinstanzlicher Entscheid E. 4.9.1.11 S. 280-285), erweist sich jedenfalls nicht als unhaltbar (vgl. E. 2.1.1 vorne). Dass die entsprechenden Gutschriften erst nachträglich, anlässlich des "Geldflusses" erfolgt sind, führt nicht zu einem anderen Ergebnis. Entscheidend ist der fehlende Nachweis, dass der Stiftungsrat je rückwirkend eine Höherverzinsung beschlossen hat. Die "Aufnahme (der Höherverzinsung) in den Rechen- und Berichtswerk der Stiftung" stellt keinen solchen formellen Beschluss dar. Ausserdem lässt sich dem kantonalen Gericht nicht vorwerfen, mit seinem Beweisschluss gegen die Dispositionsmaxime verstossen zu haben. Tatsächliche Feststellungen dürfen auch aus den Akten gewonnen werden, ohne dass damit eine Ausdehnung des Streitgegenstands einhergeht.</w:t>
      </w:r>
    </w:p>
    <w:p>
      <w:r>
        <w:rPr>
          <w:b/>
        </w:rPr>
        <w:t>E. 6.2.3.2</w:t>
      </w:r>
    </w:p>
    <w:p>
      <w:r>
        <w:t>Mitte Juni 2005 berechnete der Beschwerdeführer - "auf Anfrage" der Stiftung und da die Jahresrechnung 2004 noch nicht definitiv testiert worden war - einen provisorischen Deckungsgrad per Ende 2004 von rund 101 %. Eine Intervention bei der Stiftung unterblieb (a.a.O. E. 4.9.1.13 S. 289 Abs. 1). In Anbetracht der konkreten Gegebenheiten (vgl. E. 6.2.3.1 vorne) und des knappen Deckungsgrades kann der Beschwerdeführer sein Versäumnis nicht damit rechtfertigen, die "offiziellen" drei Jahre (vgl. E. 6.1.5 vorne) seien noch nicht abgelaufen gewesen; insbesondere reicht der Deckungsgrad als Momentaufnahme nicht aus, um die finanzielle Lage einer Vorsorgeeinrichtung zu beurteilen. Infolge der durch die Höherverzinsung "überholten" Rechtslage (vgl. E. 6.2.3.1) drängte sich eine umfassende Überprüfung der finanziellen Sicherheit geradezu auf (vgl. E. 6.1.5 vorne), was spätestens dannzumal (auch) zur Überprüfung - zumindest des Bestandes - der Bankgarantie, die der Absicherung der Vorsorgegelder und der Verzinsung diente, geführt hätte. Wie das kantonale Gericht für das Bundesgericht verbindlich festgestellt hat (vgl. E. 2.1 vorne), war und ist üblich, dass der Experte auch bei einer nicht geprüften Jahresrechnung einen provisorischen Entwurf für eine versicherungstechnische Bilanz erstellt (a.a.O. E. 4.9.1.12 S. 287). "Provisorisch" heisst demnach nicht, dass der Experte automatisch von der Überprüfungspflicht gemäss aArt. 53 Abs. 2 lit. a BVG entbunden ist. Der Beschwerdeführer lässt ausser Acht, dass die Bankgarantie - in der Bilanz der Stiftung - weder einen Aktiv- noch Passivposten darstellt. Vielmehr ist sie als "Sicherungsgeschäft" wesentliches Element des ausschliesslich vom BVG-Experten zu überprüfenden Anlagekonzepts (vgl. E. 6.1.4 Abs. 2 vorne). Der Registrierungsakt vom 24. November 2003 ändert daran nichts. Auch wenn "alle Unterlagen, d.h. auch die Bestätigung der V.________ AG" (in Wirklichkeit ein Kontoauszug und nicht eine Garantie) unmittelbar an das BSV gingen, wechselte die Überprüfungspflicht im Sinne von Art. 53 Abs. 2 lit. a BVG nicht auf dieses. Aufgabe der Aufsichtsbehörde war und blieb die Rechtmässigkeitskontrolle ( Art. 62 Abs. 1 BVG in der bis Ende 2011 gültigen Fassung). Davon zu unterscheiden ist die sich - im Schadenersatzverfahren gegen die Schweizerische Eidgenossenschaft (vgl. Sachverhalt lit. A.b Abs. 2) - allenfalls stellende Frage, ob die Registrierungsverfügung zu Recht ergangen ist.</w:t>
      </w:r>
    </w:p>
    <w:p>
      <w:r>
        <w:rPr>
          <w:b/>
        </w:rPr>
        <w:t>E. 6.2.4</w:t>
      </w:r>
    </w:p>
    <w:p>
      <w:r>
        <w:t>Ob neben dem Bestand der Bankgarantie auch die Bonität des Garantiegebers zu überprüfen gewesen wäre, braucht angesichts des völlig passiven Verhaltens des Beschwerdeführers nicht beantwortet zu werden.</w:t>
      </w:r>
    </w:p>
    <w:p>
      <w:r>
        <w:rPr>
          <w:b/>
        </w:rPr>
        <w:t>E. 7</w:t>
      </w:r>
    </w:p>
    <w:p>
      <w:r>
        <w:t>Vor dem Hintergrund des in E. 6 Gesagten stellt die Passivität des Beschwerdeführers ein grobfahrlässiges und schuldhaftes Verhalten dar. Allein sein Verhalten in der Gründungsphase der Stiftung (vgl. E. 6.2.1 und 6.2.2 vorne) ist als besonders gravierend anzusehen. Die entsprechende Unterlassung - der Beschwerdeführer hat keine Anstalten unternommen, die Garantie als elementares Instrument der Leistungs- und Risikoabsicherung zu überprüfen, obwohl er selber in einem Schreiben vom Stiftungsrat verlangt hatte, ihm den Garantievertrag zu unterbreiten - führte dazu, dass nach aussen der falsche Eindruck entstand, die Stiftung sei jederzeit in der Lage, ihren gegenüber den Versicherten eingegangenen Verpflichtungen nachzukommen, worauf bei einem Neuanschluss besonders geachtet wird. Dazu kommt, dass die Aufsichtsübernahme durch das BSV den Beschwerdeführer nicht davon entband, das von ihm offenbar erkannte Problem - Anlagekonzept mit fester Zinszusage - weiter zu verfolgen. Seine anhaltende Passivität in Bezug auf die Bankgarantie wiegt nicht minder schwer, schuf sie doch Raum für einen fortgesetzten Abfluss der Stiftungsmittel.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(vgl. E. 1.1 vorne).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8.2</w:t>
      </w:r>
    </w:p>
    <w:p>
      <w:r>
        <w:t>Die Vorinstanz hat sich zur Begründung des (hypothetischen und gleichzeitig adäquaten) Kausalzusammenhangs ausschliesslich auf die allgemeine Lebenserfahrung gestützt (E. 4.9.3 S. 292 ff. des angefochtenen Entscheids). Indes kann - auch bei einer freien Prüfung - nicht der beschwerdeführerischen Sicht der Dinge gefolgt werden. Der Beschwerdeführer wendet u.a. ein, der Schaden sei nicht die kausale Folge davon gewesen, dass das propagierte Geschäftsmodell nicht tragfähig gewesen sei, sondern dass dieses infolge des kriminellen Verhaltens der Beklagten 1, 4 und 13 nicht umgesetzt werden wollte und sollte. Die Beklagten 1, 4 und 13 hätten ohnehin nicht auf ihn gehört. Dem ist in Übereinstimmung mit der Vorinstanz entgegenzuhalten, dass ein "renitentes" Verhalten seitens des Stiftungsrates, insbesondere der Beklagten 1 und 4, entweder ein Grund für eine Intervention beim BSV oder eine Mandatsniederlegung gewesen wäre, die ebenfalls dem BSV zu melden gewesen wäre (vgl. E. 6.1.1 vorne). Hätte der Beschwerdeführer auf der Vorlage des Garantievertrags beharrt, hätte sich herausgestellt, dass die Stiftung mangels eines solchen nicht einmal in der Lage gewesen wäre, den garantieren Mindestzinssatz auf dem gesamten Alterskapital zu gewährleisten. Die operative Tätigkeit hätte nicht aufgenommen werden können und es wäre nicht zu Neuanschlüssen gekommen. Infolgedessen wären der Stiftung keine Mittel zugeflossen, die unrechtmässig hätten verwendet werden können. Soweit der Beschwerdeführer meint, eine Mitteilung von seiner Seite hätte dem BSV nicht Anlass für irgendwelche Massnahmen gegeben, so übersieht er, dass dieses - da offensichtlich die vitalen Interessen der Stiftung auf dem Spiel standen - sehr wohl unverzüglich eingeschritten wäre (vgl. SZS 2012 S. 374, 9C_823/2011 E. 2.2). Aus dem Umstand, dass das BSV von der Bankgarantie gewusst habe, deren Einforderung aber nicht durchgesetzt habe, kann nicht darauf geschlossen werden, die Aufsichtsbehörde habe die Bankgarantie für die Sicherheit nicht als erforderlich angesehen. Einerseits war und blieb ihre Überprüfung im Aufgabenbereich des Beschwerdeführers (vgl. E. 6.2.3.2 Abs. 2 vorne). Anderseits besteht ein erheblicher und relevanter Unterschied zwischen einem konkludenten "Davon-Ausgehen", dass es einen Garantievertrag gibt, und dem (nachträglich) tatsächlichen Wissen, dass es einen solchen gar nicht gibt. Es ist daher überwiegend wahrscheinlich, dass letztere Mitteilung die untrügliche Wirkung gehabt hätte, dass das BSV prompt eingegriffen hätte. Dabei hätte es den Blick sofort auf die Vermögensanlage gerichtet, wobei die verschiedenen Missstände rasch ans Tageslicht gekommen wären. Schliesslich hilft auch nicht weiter, dass die Stiftungsmittel nicht unrechtmässig angelegt, sondern veruntreut worden sind, mithin die Passivseite der Bilanz von diesen Schäden nicht betroffen gewesen ist. Entgegen der Auffassung des Beschwerdeführers haben die Aufgaben, die ihm gemäss aArt. 53 Abs. 2 lit. a und b BVG obliegen, nicht ausschliesslich die Passivseite im Fokus. Sie dienen auch dem Schutz vor Aktivenverlust (vgl. E. 6.1.4 vorne). Schliesslich verfängt auch der Einwand des Beschwerdeführers, die Stiftung sei im Juli 2005 bereits zahlungsunfähig gewesen, nicht. Einerseits ging das kantonale Gericht aus rein prozessualen Gründen von einer Anrechenbarkeit erst ab 1. Juli 2005 aus (angefochtener Entscheid E. 4.9.5 S. 298 oben). Daran ist (auch) das Bundesgericht gebunden (vgl. Art. 107 Abs. 1 BGG ). Anderseits definiert sich die Zahlungsunfähigkeit einer Vorsorgeeinrichtung, die zu Vorschussleistungen des Sicherheitsfonds führt ( Art. 56 Abs. 1 lit. b BVG ), nach Art. 25 der Verordnung über den Sicherheitsfonds BVG (SFV; SR 831.432.1). Der Beschwerdeführer äussert sich nicht zu den darin stipulierten Voraussetzungen.</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Die Vorinstanz hat für das Bundesgericht verbindlich festgestellt (vgl. E. 2.1 vorne), dass die Stiftungsräte den Beschwerdeführer nicht aktiv davon abgehalten haben, seine Aufgabe zu erfüllen; Entsprechendes habe dieser denn auch nicht behauptet (E. 4.9.3.3 S. 296 Abs. 2 des kantonalen Entscheids). Soweit der Beschwerdeführer die Bestreitung im vorliegenden Verfahren nachholt, handelt es sich um ein neues und damit unzulässiges Vorbringen (vgl. Urteil 4A_229/2010 vom 7. Oktober 2010 E. 5.1.3, nicht publ. in BGE 136 III 518 ), zu dem nicht erst der angefochtene Entscheid Anlass gegeben hat (vgl. Art. 99 Abs. 1 BGG ). Auf den Beizug der Zuger Strafakten (vgl. Sachverhalt lit. A.b Abs. 2) durfte deshalb auch im vorliegenden Punkt verzichtet werden. Zudem erweist sich die Sorgfaltspflichtverletzung, die der Beschwerdeführer begangen hat und ausschliesslich in seinem Verantwortungsbereich anzusiedeln ist, als derart grundlegend (vgl. E. 6.2. und E.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BVG und damit gleichzeitig auch von Art. 56a BVG erfüllt (vgl. E. 4 vorne).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 geht (vgl. E. 2.2.1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Herabsetzungsgründe nach Art. 43 Abs. 1 OR und nach dem hier in Frage kommenden Art. 44 Abs. 2 OR sind nicht gegeben. Die Pflichtverletzungen des Beschwerdeführers sind als grobfahrlässig anzusehen (vgl. E. 7 vorne). Angesichts der - wenn auch nur "provisorischen" - Bilanzpositionen lässt sich nicht sagen, dass der angerichtete Schaden ausserhalb jeder vernünftiger Proportion liegt. Ein (anderweitiger) mildernder Umstand ist nicht ersichtlich. Soweit die Stiftung ein Selbstverschulden trifft, indem ihr die Handlungen der beklagten Stiftungsräte anzurechnen sind, so besteht wegen der solidarischen Haftung kein Raum für die Anwendung von Art. 44 Abs. 1 OR . Vielmehr berührt der Aspekt des Selbstverschuldens die Frage nach der definitiven Schadenstragung im Innenverhältnis, welche hier nicht Prozessthema bildet.</w:t>
      </w:r>
    </w:p>
    <w:p>
      <w:r>
        <w:rPr>
          <w:b/>
        </w:rPr>
        <w:t>E. 9.3</w:t>
      </w:r>
    </w:p>
    <w:p>
      <w:r>
        <w:t>Die Vorinstanz beziffert den Schaden, für den der Beschwerdeführer in zeitlicher Hinsicht (ab 1. Juli 2005) verantwortlich zeichnet, auf Fr. 9'130'000.- (E. 4.9.51 S. 297 f. des angefochtenen Entscheids). Diese Summe ist rechnerisch unbestritten.</w:t>
      </w:r>
    </w:p>
    <w:p>
      <w:r>
        <w:rPr>
          <w:b/>
        </w:rPr>
        <w:t>E. 9.4</w:t>
      </w:r>
    </w:p>
    <w:p>
      <w:r>
        <w:t>Soweit das kantonale Dispositiv verschiedene Haftungsbeträge und gleichzeitig eine Solidarschuld stipuliert, ist es nach dem Gesagten (E. 9.1 hievor) nicht zu beanstanden (vgl. dazu auch Anton K. Schnyder, in: Basler Kommentar, Obligationenrecht, Bd. I, 4. Aufl. 2007, N. 4 zu Art. 144 OR ; Alain Gautschi, Solidarschuld und Ausgleich, 2009, S. 7 Rz. 12 i.f.; je mit Hinweis). Die im Dispositiv (Ziff. 1) lit. a, b, g und h jeweils zugleich verwendeten Formulierungen "unter solidarischer Haftung" und "je einzeln" sind dagegen, wie der Beschwerdeführer zutreffend einwirft, missverständlich: Dispositiv- Ziff. 1 lit. a, die sich auf den (eingeklagten) "Gesamtschaden" von 30 Mio. Fr. bezieht, kann in Verbindung mit lit. b, g und h durchaus so verstanden werden, dass die Beklagten 1-4, 9-11 sowie 12 und 13 je die ihnen (gleich hohe) anrechenbare Summe zu bezahlen haben, sofern die (eingeklagte) Maximalhaftungssumme von 30 Mio. Fr. noch nicht erreicht ist. Dies, weil die Formulierung "je einzeln" eine kumulative Zahlungsverpflichtung impliziert. Eine solche steht aber in unüberbrückbarem Widerspruch zu den festgelegten Solidarschuldverhältnissen, da "unter solidarischer Haftung" bedeutet, dass die Leistung eines einzigen Schuldners die übrigen Solidarschuldner - zumindest im Aussenverhältnis - befreit ( Art. 147 Abs. 1 OR ). Hinzu kommt, dass infolge der Haftungszeiträume, die für die Beklagten individuell festgelegt sind, nicht ein Schuldverhältnis, sondern insgesamt sieben Solidarschuldverhältnisse mit jeweils unterschiedlicher personeller Zusammensetzung bestehen. Diese verschiedenen Solidarschuldverhältnisse sind vor allem dann von Bedeutung, wenn es um die (Teil-) Leistung einer beklagten (natürlichen oder juristischen) Person geht. Da deren Leistung für die übrigen Solidarschuldner befreiend ist, muss der zahlende Schuldner resp. die zahlende Schuldnerin nach Art. 86 Abs. 1 OR erklären können, welche Schuld er resp. sie tilgen will oder an welche Schuld die Zahlung angerechnet werden soll. Das vorinstanzliche Dispositiv verunmöglicht eine solche Erklärung und ist daher auch aus diesem Grund - sowie in Anbetracht des ebenfalls heute ergangenen Urteils 9C_230/2014 vom 18. Dezember 2014, zur Publikation vorgesehen - abzuändern.</w:t>
      </w:r>
    </w:p>
    <w:p>
      <w:r>
        <w:rPr>
          <w:b/>
        </w:rPr>
        <w:t>E. 10</w:t>
      </w:r>
    </w:p>
    <w:p>
      <w:r>
        <w:t>Damit obsiegt der Beschwerdeführer nur in einem formalen Punkt von untergeordneter Bedeutung, was die Zusprechung einer Parteientschädigung nicht zwingend macht.</w:t>
      </w:r>
    </w:p>
    <w:p>
      <w:r>
        <w:rPr>
          <w:b/>
        </w:rPr>
        <w:t>E. 11</w:t>
      </w:r>
    </w:p>
    <w:p>
      <w:r>
        <w:t>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des Beschwerdeführers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