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9C_247/2017 vom 7. August 2017</w:t>
      </w:r>
    </w:p>
    <w:p>
      <w:r>
        <w:t>Bundesgericht, 2017-08-07, DE</w:t>
      </w:r>
    </w:p>
    <w:p>
      <w:r>
        <w:rPr>
          <w:b/>
        </w:rPr>
        <w:t xml:space="preserve">Quelle: </w:t>
      </w:r>
      <w:r>
        <w:t>https://mcp.opencaselaw.ch/entscheid/bger_9C_247_2017</w:t>
      </w:r>
    </w:p>
    <w:p>
      <w:r>
        <w:t>FR: TF 9C_247/2017 du 7 août 2017</w:t>
      </w:r>
    </w:p>
    <w:p>
      <w:r>
        <w:t>IT: TF 9C_247/2017 del 7 agosto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8C_734/2016 vom 12. Juli 2017 E. 1.2; 9C_275/2016 vom 19. August 2016 E. 1.2 mit Hinweisen).</w:t>
      </w:r>
    </w:p>
    <w:p>
      <w:r>
        <w:rPr>
          <w:b/>
        </w:rPr>
        <w:t>E. 2.1</w:t>
      </w:r>
    </w:p>
    <w:p>
      <w:r>
        <w:t>Bei einer Neuanmeldung zum Leistungsbezug finden die Grundsätze zur Rentenrevision analog Anwendung ( Art. 17 Abs. 1 ATSG ; Art. 87 Abs. 2 und 3 IVV [SR 831.201]; BGE 130 V 71 E. 3.2.3 S. 77), weshalb zunächst eine anspruchsrelevante Veränderung des Sachverhalts erforderlich ist. Erst in einem zweiten Schritt ist der (Renten-) Anspruch in tatsächlicher und rechtlicher Hinsicht umfassend - gegebenenfalls anhand der neuen Rechtsprechung zu den somatoformen Schmerzstörungen gemäss BGE 141 V 281 - zu prüfen (Urteil 9C_894/2015 vom 25. April 2016 E. 5 und 6.4).</w:t>
      </w:r>
    </w:p>
    <w:p>
      <w:r>
        <w:rPr>
          <w:b/>
        </w:rPr>
        <w:t>E. 2.2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3</w:t>
      </w:r>
    </w:p>
    <w:p>
      <w:r>
        <w:t>Die Vorinstanz hat nach einlässlicher Beweiswürdigung dem polydisziplinären Gutachten der Academy of Swiss Insurance Medicine (asim) vom 27. September 2011 und dem neurologisch-psychiatrischen Verlaufsgutachten der (bereits am asim-Gutachten beteiligten) Dres. med. C.________ und D.________ vom 25. November 2013 in Bezug auf den medizinischen Sachverhalt Beweiskraft beigemessen. In Abweichung von der ärztlichen Arbeitsfähigkeitsschätzung - die Experten attestierten eine Einschränkung von 20 % - hat sie festgestellt, für behinderungsangepasste Tätigkeiten bestehe nach wie vor eine uneingeschränkte Arbeitsfähigkeit, und seit dem Erlass der Verfügung vom 24. April 2008 sei keine rententangierende Verschlechterung eingetreten. Folglich hat sie einen Rentenanspruch verneint. Weiter hat das kantonale Gericht erwogen, dem Parteigutachten des pract. med. B.________ vom 2. Februar 2015 sei keine massgebliche Bedeutung für die Entscheidfindung zugekommen, weshalb der Versicherte keinen Anspruch auf Vergütung der entsprechenden Kosten habe.</w:t>
      </w:r>
    </w:p>
    <w:p>
      <w:r>
        <w:rPr>
          <w:b/>
        </w:rPr>
        <w:t>E. 4.1</w:t>
      </w:r>
    </w:p>
    <w:p>
      <w:r>
        <w:t>Es ist nicht ersichtlich und wird auch nicht geltend gemacht, dass die vorinstanzliche Feststellung, wonach zwischen April 2008 und dem Erlass der angefochtenen Verfügung vom 23. Juni 2015 keine anspruchsrelevante Gesundheitsverschlechterung eingetreten sei, offensichtlich unrichtig (E. 1.2) sein soll.</w:t>
      </w:r>
    </w:p>
    <w:p>
      <w:r>
        <w:rPr>
          <w:b/>
        </w:rPr>
        <w:t>E. 4.2</w:t>
      </w:r>
    </w:p>
    <w:p>
      <w:r>
        <w:t>Die Vorinstanz hat ausführlich und einleuchtend dargelegt, weshalb der Umstand, dass im Verlaufsgutachten vom 25. November 2013 die Schwierigkeiten in der Untersuchungssituation offengelegt wurden, nicht auf eine Voreingenommenheit der Experten schliessen lässt, und warum diese Verdeutlichungen, "mitunter auffällige Aggravation bis hin zu einer Simulation", Inkonsistenzen, Selbstlimitierung u.ä. annehmen und miteinbeziehen durften. Die Gutachter (Dres. med. C.________ und D.________) berücksichtigten die Angaben des Versicherten und seiner Ehefrau wie auch die (u.a. psychotherapeutische) Behandlung und setzten sich mit den Einschätzungen anderer Ärzte auseinander. Aus neurologischer Sicht konnten die geltend gemachten Beschwerden nicht objektiviert werden. Dass die Experten angesichts der Selbstlimitierung und der Aggravation die Prognose als ernst bezeichneten, ist nachvollziehbar. Weiter ergibt sich weder aus der verkehrsmedizinischen Untersuchung noch aus dem Gutachten des pract. med. B.________ vom 2. Februar 2015 eine anspruchsrelevante Gesundheitsverschlechterung: Erstere wurde mit Blick auf die Fahreignung erstellt und enthält keine Einschätzung der Arbeitsfähigkeit. Pract. med. B.________ erkannte eine psychische Störung, die "im Abgleich" mit den Kriterien nach ICD-10 einer mittelgradigen depressiven Episode entspricht. Diesbezüglich verwies er auf erfolgte Verbesserungen "unter der sehr intensiven (...) Psychopharmakatherapie" während eines nur knapp zweiwöchigen stationären Klinikaufenthalts, ohne nachvollziehbar darzulegen, weshalb eine längere stationäre Behandlung keine Aussicht auf (weiteren) Erfolg haben sollte. Damit weist er ebenfalls keine rechtlich relevante Arbeitsunfähigkeit aus (vgl. Urteil 8C_753/2016 vom 15. Mai 2017 E. 4). Sodann trägt die ärztliche Beurteilung von der Natur der Sache her unausweichlich Ermessenszüge ( BGE 137 V 210 E. 3.4.2.3 S. 253; Urteil 9C_397/2015 vom 6. August 2015 E. 5.3), die es zu respektieren gilt. Ohnehin beschränkt sich der Beschwerdeführer auf weiten Strecken darauf, lediglich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4.3</w:t>
      </w:r>
    </w:p>
    <w:p>
      <w:r>
        <w:t>Nachdem Gesagten genügen die Gutachten der asim sowie der Dres. med. C.________ und D.________ - zumindest in Bezug auf die entscheidende Frage nach einer erheblichen Veränderung - den Anforderungen an die Beweiskraft (E. 2.2). Demnach beruhen die vorinstanzliche Sachverhaltsfeststellung (E. 4.1) und Beweiswürdigung auch nicht auf einer Rechtsverletzung, weshalb sie für das Bundesgericht verbindlich bleiben (E. 1.1).</w:t>
      </w:r>
    </w:p>
    <w:p>
      <w:r>
        <w:rPr>
          <w:b/>
        </w:rPr>
        <w:t>E. 4.4</w:t>
      </w:r>
    </w:p>
    <w:p>
      <w:r>
        <w:t>Bei diesem Ergebnis besteht kein Anlass zur beantragten Rückweisung. Das kantonale Gericht hat zu Recht sowohl einen Rentenanspruch als auch eine massgebende Bedeutung der Expertise des pract. med. B.________ mit Anspruch auf entsprechende Kostenvergütung verneint.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