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9C_247/2015 vom 23. Juni 2015</w:t>
      </w:r>
    </w:p>
    <w:p>
      <w:r>
        <w:t>Bundesgericht, 2015-06-23, FR</w:t>
      </w:r>
    </w:p>
    <w:p>
      <w:r>
        <w:rPr>
          <w:b/>
        </w:rPr>
        <w:t xml:space="preserve">Quelle: </w:t>
      </w:r>
      <w:r>
        <w:t>https://mcp.opencaselaw.ch/entscheid/bger_9C_247_2015</w:t>
      </w:r>
    </w:p>
    <w:p>
      <w:r>
        <w:t>FR: TF 9C_247/2015 du 23 juin 2015</w:t>
      </w:r>
    </w:p>
    <w:p>
      <w:r>
        <w:t>IT: TF 9C_247/2015 del 23 giugno 2015</w:t>
      </w:r>
    </w:p>
    <w:p>
      <w:pPr>
        <w:pStyle w:val="Heading2"/>
      </w:pPr>
      <w:r>
        <w:t>Erwägungen</w:t>
      </w:r>
    </w:p>
    <w:p>
      <w:r>
        <w:rPr>
          <w:b/>
        </w:rPr>
        <w:t>E. 1</w:t>
      </w:r>
    </w:p>
    <w:p>
      <w:r>
        <w:t>En tant que son dispositif renvoie le dossier à l'administration pour nouvelle décision au sens des considérants, le jugement entrepris doit être qualifié de décision incidente qui ne peut être attaquée qu'aux conditions de l' art. 93 LTF ( ATF 133 V 477 consid. 4.2 p. 482). Dans le cas particulier, la juridiction cantonale a constaté que l'intimé présentait un taux d'invalidité de 22,11 % susceptible de lui ouvrir le droit à une mesure de reclassement si les autres conditions du droit à la prestation étaient remplies. Sur ce point, le jugement attaqué contient une instruction impérative destinée à l'autorité inférieure qui ne lui laisse plus aucune latitude de jugement pour la suite de la procédure, de sorte qu'elle devra rendre une décision qui, selon elle, est contraire au droit fédéral. En cela, l'office recourant subit un préjudice irréparable au sens de l' art. 93 al. 1 let. a LTF , si bien qu'il y a lieu d'entrer en matière sur son recours (cf. ATF 133 V 477 consid. 5.2 p. 483).</w:t>
      </w:r>
    </w:p>
    <w:p>
      <w:r>
        <w:rPr>
          <w:b/>
        </w:rPr>
        <w:t>E. 2</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3</w:t>
      </w:r>
    </w:p>
    <w:p>
      <w:r>
        <w:t>Le litige porte sur le droit de l'intimé à des mesures d'ordre professionnel sous forme de reclassement dans une nouvelle profession au sens de l' art. 17 LAI . Compte tenu des critiques émises pas l'office recourant contre le jugement cantonal, il s'agit en particulier d'examiner si les premiers juges ont correctement fixé le taux d'invalidité en considérant que le revenu sans invalidité - pris en compte dans le cadre de la comparaison des revenus - correspondait au dernier salaire effectif de l'assuré et non au salaire statistique résultant de l'Enquête suisse sur la structure des salaires (ESS). Le jugement entrepris expose correctement les dispositions légales et les principes jurisprudentiels indispensables à la résolution de cette question. Il suffit d'y renvoyer.</w:t>
      </w:r>
    </w:p>
    <w:p>
      <w:r>
        <w:rPr>
          <w:b/>
        </w:rPr>
        <w:t>E. 4.1</w:t>
      </w:r>
    </w:p>
    <w:p>
      <w:r>
        <w:t>Considérant que la capacité de travail de l'intéressé était nulle dans son activité de magasinier mais totale dans une activité adaptée, la juridiction cantonale a procédé à une comparaison des revenus en vue de déterminer le degré d'invalidité. Elle a retenu, au titre de revenu sans invalidité, un montant de 71'890 fr. 09 (70'613 fr. 40 indexé à 2012; cf. questionnaire pour l'employeur) en se fondant sur le salaire que l'intimé aurait réalisé s'il avait continué à travailler auprès de son dernier employeur, à savoir B.________. La comparaison de ce revenu avec le revenu d'invalide fixé à 55'995 fr. (62'217 fr. avec abattement de 10 %) donnait un taux d'invalidité de 22,11 %, insuffisant pour ouvrir le droit à une rente d'invalidité mais suffisant pour éventuellement donner droit à une mesure de reclassement.</w:t>
      </w:r>
    </w:p>
    <w:p>
      <w:r>
        <w:rPr>
          <w:b/>
        </w:rPr>
        <w:t>E. 4.2</w:t>
      </w:r>
    </w:p>
    <w:p>
      <w:r>
        <w:t>L'office recourant reproche aux premiers juges de s'être fondés sur le salaire effectif pour calculer le taux d'invalidité sans tenir compte du fait que l'assuré avait été licencié pour des raisons indépendantes de son atteinte à la santé. Il soutient en substance que, compte tenu des motifs de licenciement, le salaire effectif ne serait pas représentatif du véritable rendement de l'intéressé.</w:t>
      </w:r>
    </w:p>
    <w:p>
      <w:r>
        <w:rPr>
          <w:b/>
        </w:rPr>
        <w:t>E. 5.1</w:t>
      </w:r>
    </w:p>
    <w:p>
      <w:r>
        <w:t>Comme le relève l'administration, il ressort de la lettre de licenciement du 27 octobre 2010 résiliant les rapports de travail pour le 31 décembre suivant que l'entreprise B.________ s'est séparée de son employé en raison du manque d'efforts fournis par celui-ci malgré la lettre d'avertissement qui lui était parvenue un mois auparavant. L'employeur n'a pas fait mention d'éventuels problèmes médicaux (questionnaire pour l'employeur). Il apparaît ainsi que l'intimé a perdu son emploi pour des motifs étrangers à l'invalidité, ce que la juridiction cantonale a manqué de constater (supra consid. 2). Cette dernière s'est basée uniquement sur le fait que le dernier salaire était connu et correspondait au revenu que l'assuré était en mesure de réaliser. Ce raisonnement n'est pas fondé dans la mesure où, si le licenciement n'est pas motivé par une raison médicale, on ne peut admettre que l'assuré aurait poursuivi son activité auprès du même employeur. Lorsque la perte d'emploi est due à des motifs étrangers à l'invalidité, le revenu sans invalidité doit en principe être déterminé par des valeurs moyennes (arrêt 9C_212/2015 du 9 juin 2015 consid. 5.4 et les arrêts cités). Il n'était donc pas conforme au droit fédéral de se fonder sur le salaire que l'intéressé aurait réalisé auprès du dernier employeur (arrêt 9C_394/2013 du 27 septembre 2013 consid. 3.4). Les premiers juges ne peuvent dès lors être suivis sur ce point.</w:t>
      </w:r>
    </w:p>
    <w:p>
      <w:r>
        <w:rPr>
          <w:b/>
        </w:rPr>
        <w:t>E. 5.2</w:t>
      </w:r>
    </w:p>
    <w:p>
      <w:r>
        <w:t>Cela étant, on ne saurait confirmer le raisonnement de l'office recourant, en tant que celui-ci se fonde dans le cas particulier sur les valeurs statistiques de l'ESS pour déterminer le montant du revenu sans invalidité. En effet, il ressort des constatations de la juridiction cantonale et des pièces du dossier que l'assuré a d'une part travaillé pendant de très nombreuses années en tant que magasinier auprès du même employeur et, d'autre part, qu'il a obtenu dans cette activité un salaire nettement supérieur au salaire statistique invoqué par le recourant. Avant d'exercer son activité de magasinier au service de B.________ (de 2008 à 2010), l'assuré avait travaillé de nombreuses années (de 1986 à 2008 selon le certificat de travail du 29 février 2008) au sein de la même entreprise, C.________ SA, en qualité de magasinier. Par ailleurs, au regard des salaires ressortant de l'extrait de compte individuel établi par la Caisse cantonale genevoise de compensation, ses revenus dépassaient ceux résultant de l'ESS pour une activité identique. Ainsi, que l'on prenne le dernier salaire obtenu auprès de B.________ (70'613 fr. 40 en 2010) ou bien auprès de C.________ SA (67'650 fr. en 2007), l'assuré aurait obtenu en 2012 un revenu de près de 72'000 fr., nettement supérieur au salaire de 63'096 fr. invoqué par le recourant.</w:t>
      </w:r>
    </w:p>
    <w:p>
      <w:r>
        <w:t>Dans ces circonstances, la juridiction cantonale n'a pas violé le droit en fixant le salaire sans invalidité à près de 72'000 fr., au regard des salaires effectivement réalisés par l'assuré dans son unique activité pendant de nombreuses années. Le degré d'invalidité qui résulte de la comparaison des revenus, fixé à 22 %, n'est dès lors pas critiquable. Le recours est mal fondé.</w:t>
      </w:r>
    </w:p>
    <w:p>
      <w:r>
        <w:rPr>
          <w:b/>
        </w:rPr>
        <w:t>E. 6</w:t>
      </w:r>
    </w:p>
    <w:p>
      <w:r>
        <w:t>Vu l'issue du litige, les frais de la procédure sont mis à la charge de l'office recourant ( art. 66 al. 1 LTF ) qui versera des dépens à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