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247/2014 vom 18. Dezember 2014</w:t>
      </w:r>
    </w:p>
    <w:p>
      <w:r>
        <w:t>Bundesgericht, 2014-12-18, DE</w:t>
      </w:r>
    </w:p>
    <w:p>
      <w:r>
        <w:rPr>
          <w:b/>
        </w:rPr>
        <w:t xml:space="preserve">Quelle: </w:t>
      </w:r>
      <w:r>
        <w:t>https://mcp.opencaselaw.ch/entscheid/bger_9C_247_2014</w:t>
      </w:r>
    </w:p>
    <w:p>
      <w:r>
        <w:t>FR: TF 9C 247/2014 du 18 décembre 2014</w:t>
      </w:r>
    </w:p>
    <w:p>
      <w:r>
        <w:t>IT: TF 9C 247/2014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w:t>
      </w:r>
    </w:p>
    <w:p>
      <w:r>
        <w:t>Der Beizug der Zuger Strafakten (vgl. Sachverhalt lit. A.b) war - und ist auch vor Bundesgericht - nicht angezeigt. Zum einen haben das vorliegende Verfahren und das Strafverfahren, das sich gegen die Beklagten 1, 4 und 13 richtet (E. 6.2 S. 377 Abs. 2 des vorinstanzlichen Entscheids), unterschiedliche Ansatzpunkte. Während es hier primär um die Frage nach einer berufsvorsorgerechtlich relevanten Sorgfaltspflichtverletzung im Aufgabenbereich durch Unterlassung geht (vgl. E. 6 hinten), steht im Strafverfahren das Erfüllen von strafrechtlich relevanten Tatbeständen mit persönlicher Bereicherungsabsicht im Zentrum. Zum andern wird nicht dargetan, dass die Beschwerdeführerin durch strafrechtlich relevante Handlungen anderer (z.B. Betrug oder Urkundendelikte) daran gehindert wurde, ihren Pflichten nachzukommen (vgl. E. 8.3 hinten). Ein Berührungspunkt zwischen den beiden Verfahren, d.h. dem vorliegenden und dem Strafverfahren, findet sich einzig bezüglich der Frage, ob das strafrechtliche Fehlverhalten der Beklagten 1, 4 und 13 geeignet ist, den - hier - haftungsrelevanten Kausalzusammenhang (vgl. E. 8.1 hinten) zu unterbrechen. Nachdem ein solcher Unterbruch zu verneinen ist (vgl. E. 8.3 hinten), kann auch aus diesem Grund auf eine Edition verzichtet werden. Soweit die Beschwerdeführerin aus Aussagen, die zwei ehemalige Mitarbeiter des BSV im Rahmen des Strafverfahrens gemacht haben, folgert, die Aufsichtsbehörde habe aus eigenem Antrieb und damit unabhängig von ihrem Verhalten Zurückhaltung ausgeübt, so betrifft dies die Frage nach dem Kausalzusammenhang selber. Die Strafakten helfen aber auch bezüglich deren Beantwortung nicht weiter (vgl. E. 8.2 hinten). Gleichzeitig erweist sich somit auch das Sistierungsgesuch als unbegründet. Diesem sind ohnehin durch die gebotene Raschheit des Verfahrens ( Art. 73 Abs. 2 BVG ; Art. 29 Abs. 1 BV ) enge Grenzen gesetzt ( BGE 134 IV 43 E. 2.5 S. 47).</w:t>
      </w:r>
    </w:p>
    <w:p>
      <w:r>
        <w:rPr>
          <w:b/>
        </w:rPr>
        <w:t>E. 2.2</w:t>
      </w:r>
    </w:p>
    <w:p>
      <w:r>
        <w:t>Nicht anders verhält es sich hinsichtlich des hängigen Schadenersatzverfahrens gegen die Schweizerische Eidgenossenschaft. Weder drängt es sich auf, die entsprechenden Akten zu edieren noch das vorliegende Verfahren zu sistieren. Eine etwaige Verantwortlichkeit der (damaligen) Aufsichtsbehörde ist nicht Gegenstand dieses Verfahrens, sondern eines separaten Verantwortlichkeitsverfahrens. Dabei kann allenfalls ein Mitverschulden des BSV resultieren. Ein solches vermöchte den Kausalzusammenhang zwischen dem pflichtwidrigen Verhalten der Beschwerdeführerin und des von ihr verursachten Schadens aber nicht zu unterbrechen (vgl. E. 8.3 hinten).</w:t>
      </w:r>
    </w:p>
    <w:p>
      <w:r>
        <w:rPr>
          <w:b/>
        </w:rPr>
        <w:t>E. 2.3</w:t>
      </w:r>
    </w:p>
    <w:p>
      <w:r>
        <w:t>Im vorinstanzlichen Verfahren unterblieb eine Beiladung der Schweizerischen Eidgenossenschaft. Dass sich eine (Mit-) Verantwortung der Aufsichtsbehörde auf allfällige interne Regressforderungen auswirken kann, hat das kantonale Gericht nicht in Abrede gestellt (angefochtener Entscheid E. 2.2.5.3 S. 25; vgl. dazu Urteil 9C_229/2014 E. 8.3). Die Beschwerdeführerin setzt sich mit der vorinstanzlichen Argumentation nur teilweise auseinander. Insbesondere bestreitet sie nicht, dass dem hier angefochtenen Entscheid keine (Rück-) Wirkung auf das hängige Verantwortlichkeitsverfahren gegen die Schweizerische Eidgenossenschaft zukommt (a.a.O. E. 2.2.5.4 S. 25 f.). Das sowohl in E. 2.2 als auch im vorliegenden Punkt Gesagte lässt daher nicht den Schluss zu, die Vorinstanz habe wegen der Nichtbeiladung ihr Ermessen, das ihr diesbezüglich unbestrittenermassen zusteht (a.a.O. E. 2.2.5 S. 23), überschritten oder missbraucht (vgl. BGE 137 V 71 E. 5.1 S. 72 f.). Ebenso wenig kann von einer Verletzung des rechtlichen Gehörs (der Beschwerdeführerin) gesprochen werden.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durch zwei Absätze bzw. per 1. Januar 2012 um einen vierten Absatz erweitert (seit 1. Januar 2005 also Art. 52 Abs. 1 BVG und nachfolgend nurmehr diese Norm zitierend).</w:t>
      </w:r>
    </w:p>
    <w:p>
      <w:r>
        <w:rPr>
          <w:b/>
        </w:rPr>
        <w:t>E. 3.1.2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fällt insbesondere die Kontrollstelle (vgl. Art. 53 Abs. 1 BVG in der bis Ende 2011 gültigen Fassung).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3.3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 hinten).</w:t>
      </w:r>
    </w:p>
    <w:p>
      <w:r>
        <w:rPr>
          <w:b/>
        </w:rPr>
        <w:t>E. 4</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Rolle der Beschwerdeführerin als Kontrollstelle steht hier Art. 52 Abs. 1 BVG als Anspruchsgrundlage im Vordergrund (vgl. E. 3.1.2 vorne). Sie wird aber auch gestützt auf Art. 56a BVG ins Recht gefasst (E. 5.4 S. 305 des kantonalen Entscheids).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seien bis zur Höhe von Fr. 30'553'230.39 ausreichend substanziiert und würden von der Beschwerdeführerin nicht substanziell bestritten (E. 4.3.4.6 i.f. S. 65 des angefochtenen Entscheids). Sie habe insbesondere nicht geltend gemacht, dass die Abflüsse rechtmässig gewesen sind (a.a.O. E. 4.3.5 S. 65). Die Beschwerdeführerin ficht diese Erwägungen nicht an. Bei diesen hat es somit sein Bewenden (vgl. E. 1 vorne).</w:t>
      </w:r>
    </w:p>
    <w:p>
      <w:r>
        <w:rPr>
          <w:b/>
        </w:rPr>
        <w:t>E. 6.1</w:t>
      </w:r>
    </w:p>
    <w:p>
      <w:r>
        <w:t>Gemäss Art. 53 Abs. 1 BVG in der bis Ende 2011 gültigen Fassung bestimmt die Vorsorgeeinrichtung eine Kontrollstelle für die jährliche Prüfung der Geschäftsführung, des Rechnungswesens und der Vermögensanlage. Den allgemeinen Ausführungen der Vorinstanz zu den einzelnen Sorgfaltspflichten, denen die Kontrollstelle nachzukommen hat (Art. 35 ff. bzw. Art. 53 ff. BVV 2 ), worauf an dieser Stelle vollumfänglich verwiesen werden kann (E. 4.8.1.3 S. 213 ff. des kantonalen Entscheids), ist anzufügen, dass es sich in Bezug auf Art. 53 Abs. 1 BVG nicht um eine laufende Kontrolle und Überwachung handelt. Vielmehr geht es grundsätzlich um eine jährliche, nachträgliche Prüfung ( BGE 137 V 446 E. 6.2.2 S. 449). Die jährliche Prüfung durch die Kontrollstelle hat zum Ziel, rechtliche Unregelmässigkeiten bei der Vorsorgeeinrichtung zu verhindern bzw. offenzulegen. Es ist ein Soll-Ist-Vergleich, dessen Zweck die Feststellung ist, ob und inwieweit die Bestimmungen in Gesetz und Verordnung, aber auch die Anlagerichtlinien der Vorsorgeeinrichtung eingehalten wurden und ob die Rechtmässigkeit der Rechnungsführung, der Vermögensanlage und der Geschäftsführung bestätigt werden kann. Weiter ist die Kontrollstelle verpflichtet, die Gesetzmässigkeit des Handelns der Organe, das interne Kontrollsystem sowie die Rechtmässigkeit der Vermögensanlagen zu prüfen. Bei der Prüfung der Rechtmässigkeit der Vermögensanlagen wird sowohl eine Bestandes- und Bewertungsprüfung als auch eine Analyse der Vermögenszusammensetzung vorgenommen. Vorab sind die Grundlagendokumente einzusehen und die rechtlichen, organisatorischen und wirtschaftlichen Verhältnisse festzustellen (vgl. zum Ganzen Schweizer Handbuch der Wirtschaftsprüfung, Bd. 4, 2009, S. 219 ff. Ziff. 5.2 und 5.4, welche Grundsätze bereits in der hier fraglichen Zeit Gültigkeit hatten [vgl. Ausgabe aus dem Jahr 1998 S. 198 ff. Rz. 8.142 und 8.143]). Hat die Vorsorgeeinrichtung die Geschäftsführung oder die Verwaltung ganz oder teilweise einem Dritten übertragen, so ist auch die Tätigkeit dieses Dritten zu prüfen ( Art. 35 Abs. 4 BVV 2 in der bis Ende 2011 massgebenden Fassung).</w:t>
      </w:r>
    </w:p>
    <w:p>
      <w:r>
        <w:rPr>
          <w:b/>
        </w:rPr>
        <w:t>E. 6.2.1</w:t>
      </w:r>
    </w:p>
    <w:p>
      <w:r>
        <w:t>Für die Geschäftsorganisation der Stiftung war der Umstand charakteristisch, dass zahlreiche Aufgaben an Dritte delegiert wurden (E. 3.4 S. 33 des angefochtenen Entscheids) : Bereits in der Stiftungsurkunde wurde die Q.________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 der in ihr zusammengeschlossenen Vorsorgewerke, auf die Q.________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Q.________ AG mit Leistungsauftrag 1.1 - ebenfalls rückwirkend auf den 1. Januar 2004 - die unternehmerische und fachliche Führung der Stiftung vollständig weiter an die R.________ AG, mit Sitz an der identischen Adresse wie die Stiftung und die Q.________ AG. Als Verwaltungsräte der R.________ AG amteten u.a. die Beklagten 1 (ab 15. Dezember 2000), 2 (ab 25. Januar 2002) und 4 (ab 18. Mai 2005). Der von ihr zu erfüllende Aufgabenkatalog entsprach dabei praktisch wörtlich demjenigen, der zuvor der Q.________ AG übertragen worden war. Die Buchhaltung der Stiftung wurde indessen weder von der Q.________ AG noch von der R.________ AG ausgeführt. Diese Aufgabe übernahm die Beklagte 11. Ebenfalls am 15. Juni 2004 unterzeichnete die Stiftung zwei Agenturverträge mit der R.________ AG. Diese wurde darin - rückwirkend auf den 1. Januar 2004 - mit der Akquisition von Neukunden beauftragt. Am 8. Januar 2004 schloss die Stiftung mit der S.________ Ltd., ansässig in T.________, einen Vermögensverwaltungsauftrag - rückwirkend auf den 1. November 2003 - ab. Dieser unterlag folgenden Einschränkungen: Die Verwaltungshandlungen waren im Rahmen des vorhandenen Anlagereglements der Stiftung vom 7. April 2003 vorzunehmen. Die S.________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S.________ Ltd. wurden über die im Vertrag eingeräumten Rechte hinaus keine weiteren Rechte an den Vermögenswerten auf dem Bankkonto eingeräumt. Anfangs Juni 2004 schloss die Stiftung einen (weiteren) umfassenden Vermögensverwaltungsauftrag - ebenfalls rückwirkend auf den 1. November 2003 - mit der U.________ AG ab, welcher die Beklagten 4 und 13 als Verwaltungsräte angehörten. Der Auftrag war mit Blick auf das weitgehende freie Ermessen und die zu beachtenden Einschränkungen identisch abgefasst wie der zuvor erwähnte Vertrag mit der S.________ Ltd. Ein wesentlicher Unterschied bestand darin, dass im Vertrag ein Bankkonto (Haupt-Nr. ...) bei der V.________ AG vordefiniert wurde. Am 16. Juni 2005 verlegte die U.________ AG ihren Sitz an die gleiche Adresse wie die Stiftung, die Q.________ AG und die R.________ AG. Mit einer Verwaltungsvollmacht für Finanzintermediäre vom 19. September 2003 räumte die Stiftung der Beklagten 12 das Recht ein, die unter der Stammnummer ... bei der V.________ AG deponierten Vermögenswerte ohne jede Einschränkung zu verwalten. Am 12. Februar 2004 räumte die Stiftung der Beklagten 12 erneut eine umfassende Verwaltungsvollmacht für Finanzintermediäre ein. Diesmal betraf es die Konti unter der Stammnummer ... bei der V.________ AG. Die Kontogruppe wurde auf dem Formular näher mit "Rubrik: R.________ AG" bezeichnet. Im September 2004 wurde die X.________ AG gegründet, welche die "Entwicklung und Realisierung von Immobilienprojekten aller Art sowie Beratung bei Immobilienprojekten hauptsächlich in der Schweiz" bezweckte. Ihrem Verwaltungsrat gehörten u.a. die Beklagten 1 (Präsident) und 4 an.</w:t>
      </w:r>
    </w:p>
    <w:p>
      <w:r>
        <w:rPr>
          <w:b/>
        </w:rPr>
        <w:t>E. 6.2.2</w:t>
      </w:r>
    </w:p>
    <w:p>
      <w:r>
        <w:t>Die Beschwerdeführerin war Revisionsstelle verschiedener Gesellschaften im Umfeld der Stiftung, nämlich bei der R.________ AG (seit Juni 2004), der Q.________ AG (seit Februar 2004), der X.________ AG (seit der Gründung im September 2004) sowie bei der Y.________ GmbH (seit Dezember 2004). Letztere Gesellschaft wurde vom Beklagten 4 und dessen Ehefrau geführt. Die Beschwerdeführerin musste sich demnach der überlappenden Verantwortlichkeiten auf der Führungsebene bewusst sein. Diese Konstellation barg, in Übereinstimmung mit der Vorinstanz, bereits ex ante ein beträchtliches Risiko. Weder der Umstand, dass in den übrigen Funktionen verschiedene qualifizierte und voneinander unabhängige Personen zuständig waren, noch dass die Stiftungsräte "nur" über eine Kollektivzeichnungsberechtigung verfügten, wie die Beschwerdeführerin vorbringt, vermögen an dieser Einschätzung etwas zu ändern. Gerade die Interessenkonflikte, welche die Stiftung mit dem rund um sie aufgebauten Firmenkonglomerat hervorgerufen hat, wie auch der - mit Blick auf die damit geschaffene Komplexität - zahlenmässig kleine Stiftungsrat und die Tatsache, dass alle massgebenden Geschäftsentscheide der Stiftung immer von den gleichen (zwei) Personen getroffen werden konnten resp. bei den verschiedenen Gesellschaften jeweils die gleichen Personen dem obersten Organ angehörten, hätten die Beschwerdeführerin umso aufmerksamer machen sollen. Insbesondere drängte sich bei der hier gegebenen Komposition der Einbau einer internen Kontrolle auf. Nach - für das Bundesgericht verbindlicher (vgl. E. 1.1) - Feststellung der Vorinstanz verfügte die Stiftung über kein internes Kontrollsystem (IK; angefochtener Entscheid E. 4.8.1.4 S. 219) und die Beschwerdeführerin hat sich nie nach einem solchen erkundigt (a.a.O. E. 4.8.1.4 S. 219 Abs. 2). Im Weiteren hat das kantonale Gericht - ebenfalls verbindlich (vgl. E. 1.1) - festgestellt, dass die Beschwerdeführerin keine Abklärungen durchgeführt hat, ob und inwieweit die (ursprünglichen) Stiftungsräte 2, 3 und 4 über die erforderlichen Erfahrungen für ihr Amt verfügten; solche fehlten in der Tat (a.a.O. E. 4.8.1.4 S. 217 f.). Hinsichtlich des Beklagten 1 durfte die Beschwerdeführerin wohl davon ausgehen, dass es sich um einen erfahrenen Versicherungsbroker handelte. Dass (zumindest) er Erfahrung in Bezug auf die institutionelle Anlageorganisation und Tätigkeit vorweisen konnte, auf welche es in der Geschäftsführung von Vorsorgeeinrichtungen ankommt, durfte sie jedoch, wie die Vorinstanz nicht offensichtlich unrichtig festgestellt hat (vgl. E. 1.1), nicht annehmen (a.a.O. E. 4.8.1.4 S. 217). Gleichermassen hat es die Beschwerdeführerin unterlassen, zu überprüfen, ob die Beklagte 12 und ihr einziger Verwaltungsrat, der Beklagte 13, über Erfahrungen im Bereich der institutionellen Vermögensanlage, vor allem im Bereich der Anlage von Pensionskassengeldern mit den diesbezüglich zu beachtenden BVV 2-Restriktionen, vorweisen konnten. Ebenso wenig hat sie sich einen Vermögensverwaltungsauftrag mit der Beklagten 12, die ihr als Vermögensverwalterin der Stiftung bekannt gegeben wurde, zeigen lassen; auch einen solchen gab es nicht (a.a.O. E. 4.8.1.4 S. 218). Die Ausführungen in der Beschwerdeschrift sind nicht geeignet, die vom kantonalen Gericht festgestellte Sachlage als offensichtlich unrichtig erscheinen zu lassen, noch erweist sich die vorinstanzliche Schlussfolgerung, dass sich in concreto immerhin ein mittleres Risiko offenbarte, das unweigerlich nach einem höheren Kontrollbedarf rief, als sonst wie bundesrechtswidrig.</w:t>
      </w:r>
    </w:p>
    <w:p>
      <w:r>
        <w:rPr>
          <w:b/>
        </w:rPr>
        <w:t>E. 6.2.3</w:t>
      </w:r>
    </w:p>
    <w:p>
      <w:r>
        <w:t>Nach Annahme der Beschwerdeführerin hätten am 31. Dezember 2004 über 90 % des gesamten Stiftungsvermögens als Liquidität auf einem Konto bei der V.________ AG vorhanden sein sollen. Diese von der Vorinstanz getroffene Sachverhaltsfeststellung ist nicht offensichtlich unrichtig (vgl. E. 1.1 vorne). In einer E-Mail vom 25. Mai 2005 an die Buchhalterin brachte einer der (zwei) Mandatsleiter der Beschwerdeführerin selber zum Ausdruck, dass es sich bei den noch nachzuweisenden Mitteln um ein Bankguthaben handelt. Auch in einer weiteren E-Mail vom 26. Mai 2005 sprach er von der "Problematik Ausweis flüssige Mittel". Dazu kommt, dass der von der Beklagten 12 kommunizierte Saldo von Fr. 18'618'701.70 per 31. Dezember 2004 exakt dem Saldo des Buchhaltungskontos "Bankkonto ... (V.________ AG) " entsprach. Soweit die Beschwerdeführerin behauptet, die vorinstanzliche Sichtweise sei für sie neu und stelle eine Verletzung des rechtlichen Gehörs dar, lässt sie ausser Acht, dass eine Tatsache (eine solche bildet auch die Beweiswürdigung), die sich aus den Akten ergibt, nicht neu ist. Die Stiftung war nicht in der Lage, für ihr Hauptaktivum in der Höhe von Fr. 18'618'701.70 einen Beleg vorzulegen. Nach den verbindlichen Feststellungen der Vorinstanz (vgl. E. 1.1) hatte die Beschwerdeführerin, nachdem sie um einen entsprechenden Nachweis gebeten hatte, zwischen Februar und März 2005 drei Mal untaugliche Bestätigungen erhalten (angefochtener Entscheid E. 4.8.1.7 S. 224 unten). Wohl ist der Abschlussprüfer nicht gehalten, nach deliktischen Handlungen zu suchen resp. per se die Integrität der Geschäftsleitung anzuzweifeln. Auf Grund des bestehenden mittleren Risikos (vgl. E. 6.2.2 vorne) war die Beschwerdeführerin aber von Anfang an zu einer höheren Wachsamkeit und kritischeren Haltung als sonst üblich angehalten und kann sich nicht darauf berufen, von keiner Seite auf Aspekte hingewiesen worden zu sein, die zu erhöhter Vorsicht gemahnt hätten. Angesichts der unbestrittenen Verpflichtung, die Jahresrechnung 2003/2004 bis spätestens 30. Juni 2005 beim BSV einzureichen, und angesichts des Umstandes, dass es letztlich um nicht mehr als einen simplen Kontoauszug ging, hätte sie daher, in Übereinstimmung mit der Vorinstanz, ab 1. April 2005 genauer hinsehen müssen. Wohl hat die Aufsichtsbehörde mit Schreiben vom 19. Januar 2005 auf die Möglichkeit einer Fristerstreckung hingewiesen. Von einer routinemässigen Erstreckung durfte die Beschwerdeführerin jedoch nicht ausgehen, zumal das Gesuch schriftlich und begründet vor Ablauf der Frist einzureichen war (vgl. auch E. 8.2 Abs. 2 hinten). Ein genaueres Hinsehen (ab 1. April 2005) lag auch auf der Hand, weil die Beschwerdeführerin - anders als sie glauben zu machen versucht - nicht auf eine funktionierende interne Kontrolle vertrauen konnte (vgl. E. 6.2.2 vorne). Lässt sich die Hauptposition der Bilanz als solche nicht hinreichend belegen, ist - bei den gegebenen Verhältnissen - eine Detailprüfung angesagt. Das Einfordern der Bankbestätigung stellt keine solche Detailprüfung dar, wie die Beschwerdeführerin meint, sondern ist Teil der allgemeinen Pflicht, die Positionen der Vermögensanlage umfassend auf die formelle Abstimmung mit Bestandesnachweisen zu prüfen (Schweizer Handbuch der Wirtschaftsprüfung, a.a.O., S. 231 Ziff. 5.5.2). Die Vorinstanz hat in ihrer Erwägung 4.8.1.7 (S. 221-228) detailliert und überzeugend dargelegt, weshalb es für die Beschwerdeführerin angezeigt und vertretbar gewesen wäre, das "Bankkonto ... (V.________ AG) " genauer anzusehen, und auf welche Ungereimtheiten sie dabei gestossen wäre. Gemäss den für das Bundesgericht verbindlichen Feststellungen (vgl. E. 1.1) hätte die Beschwerdeführerin auf jeden Fall rasch - spätestens Mitte Mai 2005 - herausgefunden, dass gemäss Buchhaltung im Laufe des Jahres 2004 insgesamt 11,25 Mio. Fr. in Form von Darlehen vom Konto Z.________ aus dem unmittelbaren Zugriffsbereich der Stiftung abgeflossen sind und per 31. Dezember 2004 alle diese über das Jahr gewährten Darlehen im Rahmen einer einzigen Transaktion auf das V._________-Konto zurückbezahlt wurden, ohne dass sich die Rückbuchung belegen liess (a.a.O. E. 4.8.1.7 S. 226 Abs. 2). Ab diesem Zeitpunkt durfte die Beschwerdeführerin die fragliche Aktivposition nicht (mehr) als vollständig vorhanden und echt betrachten und es wäre umgehend die Aufsichtsbehörde zu benachrichtigen gewesen ( Art. 36 Abs. 3 BVV 2 in der bis Ende 2011 gültigen Fassung). Der Vorinstanz ist zuzustimmen, dass auch die Niederlegung des Mandats die gewünschte Wirkung bei der Aufsichtsbehörde nicht verfehlt hätte (a.a.O. E. 4.8.1.10 Abs. 2). Wie das kantonale Gericht für das Bundesgericht verbindlich (vgl. E. 1.1) festgestellt hat, hat die Beschwerdeführerin weder gegenüber der Aufsichtsbehörde noch gegenüber den übrigen Stiftungsräten (der Stiftungsrat wurde im Herbst 2005 aufgestockt), jemals Signale ausgesendet, aus denen auf eine gravierende Lage beim Stiftungsvermögen und im Rechnungswesen hätte geschlossen werden können; im Gegenteil hat sie, auch als die Abnahme der Jahresrechnung 2003/2004 längst überfällig gewesen ist, nach aussen immer noch die Haltung vertreten, dass lediglich eine vergleichsweise geringfügige Pendenz, gewissermassen eine Formalität, nachzuholen sei (a.a.O. E. 4.8.1.11 S. 236 oben). Die Beschwerdeführerin bringt vor, mit der Bestätigung, "die operativen Geschäfte der Stiftung (würden) einwandfrei geführt", nicht die Vermögensanlage gemeint zu haben. Dabei scheint sie zu übersehen, dass das "Gegenstück" zum operativen Geschäft die strategische Entscheidfindung ist und der Bereich der Vermögensanlage ebenfalls dieser "Zweiteilung" unterliegt ( ERICH PETER, Leitfaden für Stiftungsräte, Führungsaufgaben und -prozesse in Vorsorgeeinrichtungen, 2014, S. 31). Es kann daher keine Rede davon sein, das kantonale Gericht habe die Aussage der Beschwerdeführerin überbewertet. Die blosse Verweigerung der Revision vermochte bei der hier vermittelten Situation kein Ausrufezeichen zu setzen.</w:t>
      </w:r>
    </w:p>
    <w:p>
      <w:r>
        <w:rPr>
          <w:b/>
        </w:rPr>
        <w:t>E. 6.2.4</w:t>
      </w:r>
    </w:p>
    <w:p>
      <w:r>
        <w:t>Die Gewährung von (diversen) Fristerstreckungen seitens des BSV hat die Beschwerdeführerin nicht von ihrer (fortzuführenden) Prüfungspflicht in Bezug auf die Jahresrechnung 2003/2004 entbunden. Entgegen ihrer Ansicht wurde die Angelegenheit dadurch nicht von der Aufsichtsbehörde übernommen: Diese darf sich - im Rahmen ihrer Aufgabenerfüllung - auf das versicherungstechnische Gutachten und das Testat der Kontrollstelle verlassen. Nur in Einzelfällen, wenn die Berichte als nicht plausibel erscheinen, muss sie diese überprüfen resp. überprüfen lassen (vgl. Art. 36 [in der hier massgebenden Fassung] und Art. 41 BVV 2 ). "In maiore minus" kann es daher - so wie es grundsätzlich keine "Kontrollrepetitionen" gibt - nicht sein, dass die Aufsichtsbehörde, indem sie für die (ordentliche) Berichterstattung der Kontrollstelle eine Nachfrist gewährt, in deren Pflichten "eintritt". Andernfalls könnte sich eine jede Kontrollstelle mit dem Hinauszögern ihrer Berichterstattung leicht aus der Verantwortung stehlen. Im Übrigen war die Stiftung und nicht die Beschwerdeführerin Adressatin der gewährten Fristerstreckungen, mithin Ersterer und nicht Letzterer eine "Verschnaufpause" verschafft wurde. Dass die Aufsichtsbehörde während der Fristerstreckung keine Massnahmen zur Behebung des ihr bekannten Mangels getroffen hat, führt zu keinem anderen Ergebnis. Hier bestand der Mangel darin, dass die Beschwerdeführerin die Jahresrechnung wegen eines fehlenden Bankbelegs "im formellen Sinn" noch nicht testieren konnte. Von einem nicht ordnungsgemässen Zustand (vgl. Art. 36 Abs. 2 und 3 BVV 2 in der hier gültigen Fassung) hatte die Aufsichtsbehörde keine Kenntnisse (vgl. E. 6.2.3 Abs. 3 vorne). Sie hatte deshalb auch keine Veranlassung, irgendwelche (repressiven) Massnahmen zu treffen. Die Beschwerdeführerin ficht die vorinstanzliche Feststellung, sie sei mit der Aufsichtsbehörde nie im Zusammenhang mit Art. 36 Abs. 3 BVV 2 in Kontakt gestanden (E. 4.8.1.12 S. 239 oben des kantonalen Entscheids), nicht an. Ihren angeblich geäusserten Bedenken wegen des weiteren Zuwartens seitens des BSV Ende 2005 resp. anfangs 2006 kommt daher keine entscheidrelevante Bedeutung zu (vgl. auch E. 8.2 Abs. 2 hinten). Die vorinstanzliche Würdigung (a.a.O. E. 4.8.1.12 S. 236 ff.) erweist sich im Ergebnis weder als unhaltbar noch sonst wie als bundesrechtswidrig.</w:t>
      </w:r>
    </w:p>
    <w:p>
      <w:r>
        <w:rPr>
          <w:b/>
        </w:rPr>
        <w:t>E. 7</w:t>
      </w:r>
    </w:p>
    <w:p>
      <w:r>
        <w:t>Vor dem Hintergrund des in E. 6.2 Gesagten stellt die Passivität der Beschwerdeführerin ein grobfahrlässiges und schuldhaftes Verhalten dar. Allein ihre Fehleinschätzung bezüglich des Kontrollrisikos und ihre Versäumnisse in der Grundlagenabklärung (vgl. E. 6.2.2 vorne) sowie die sich daraus ergebende ungenügende Überprüfung der Buchhaltung (vgl. E. 6.2.3 vorne) sind als besonders gravierend anzusehen. Eine durchschnittlich sorgfältige Kontrollstelle hätte sich bei der gegebenen Ausgangslage nicht während mehr als einem Jahr damit abgefunden, dass ihre Mandantin nicht in der Lage war, einen simplen Bankbeleg der V.________ AG zu produzieren, um damit den Nachweis über 90 % des Stiftungsvermögens erbringen zu können. Eine durchschnittlich sorgfältige Kontrollstelle hätte sich von ihrer Mandantin nicht hinhalten lassen, sondern sie hätte sich die Kontoposition in der Buchhaltung der Stiftung, welche den fraglichen Vermögensstand per Ende 2004 wiedergab, kritisch angeschaut und wäre den wenigen Buchungen, die im Geschäftsjahr 2003/2004 auf diesem Konto vorgenommen worden waren (nach unbestrittener Feststellung der Vorinstanz handelte es sich um lediglich neun Buchungen; E. 4.8.1.7 S. 225 Abs. 1 des vorinstanzlichen Entscheids), nachgegangen. Indem die Beschwerdeführerin zudem ihre Prüfungstätigkeit eingestellt hatte, als die Aufsichtsbehörde der Stiftung mehrfach Fristerstreckungen zur Einreichung der testierten Jahresrechnung gewährte, hat sie in Ausserachtlassung der Kontrollpyramide, die sich in der beruflichen Vorsorge findet (vgl. dazu a.a.O. E. 4.8.1.12 S. 237 f.), ebenfalls grobfahrlässig gehandelt. Damit hat sie (zusätzlich) Raum für ein freies Agieren und einen fortgesetzten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(vgl. E. 1.1 vorne).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8.2</w:t>
      </w:r>
    </w:p>
    <w:p>
      <w:r>
        <w:t>Die Vorinstanz hat sich zur Begründung des (hypothetischen und gleichzeitig adäquaten) Kausalzusammenhangs ausschliesslich auf die allgemeine Lebenserfahrung gestützt (E. 4.8.3 S. 243 ff. des kantonalen Entscheids). Indes kann - auch bei einer freien Prüfung - nicht der beschwerdeführerischen Sicht der Dinge gefolgt werden. Selbst wenn es zutrifft, dass das BSV grosszügig Fristen erstreckte und Termine zurückhaltend ansetzte, wovon die Beschwerdeführerin übrigens erst im Nachhinein Kenntnis erlangt hat, lässt sich daraus nicht zwingend der Schluss ableiten, die Aufsichtsbehörde hätte in jedem Fall - auch wenn die Beschwerdeführerin die Sache mit der Bankbestätigung als schwerwiegendes Problem erkannt hätte - nicht weiter reagiert. In der Notwendigkeit, dass die Abgabefrist für den Jahresabschluss erstreckt werden musste, kann hier kein Mangel im Sinne von Art. 36 Abs. 2 BVV 2 (in der bis Ende 2011 gültigen Fassung) erblickt werden. Wie die Beschwerdeführerin selber einräumt, ging sie damals bloss von einer technisch bedingten Verzögerung und damit nicht von einem unordnungsgemässen Zustand aus (vgl. auch E. 6.2.4 Abs. 2 vorne). Hätte sie dagegen ihre Handlungspflichten wahrgenommen, d.h. die Vermögensanlage und Buchhaltung überprüft und die sich dabei offenbarten groben Rechtsverletzunge n (vgl. E. 6.2.3 vorne) spätestens Mitte Mai 2005 der Aufsichtsbehörde gemeldet, sprechen die Erfahrungen des Lebens und der gewöhnliche Lauf der Dinge mit überwiegender Wahrscheinlichkeit dafür, dass das BSV die erst im Juli 2006 ergriffenen sichernden Massnahmen umgehend angeordnet hätte. Damit wäre eine weitere Vergrösserung des Schadens verhindert und die Chance auf eine Rückführung abgeflossener Stiftungsmittel erhöht worden. Gemäss Darlegung der Beschwerdeführerin will sie im Dezember 2005 gegenüber dem BSV "ihre Bedenken über die immer wieder erneuerten Fristerstreckungen" ausgedrückt haben. Dabei habe das BSV zu verstehen gegeben, dass es nicht wie in einem anderen Fall, in dem sie zu schnell Massnahmen ergriffen habe, gerügt werden wolle. Dies ist insoweit nachvollziehbar, als es tatsächlich nur um ein technisches Problem gegangen wäre. Dass jener "andere Fall" aber insoweit vergleichbar ist, als dort - anders als hier (vgl. E. 6.2.3 Abs. 3) - die Aufsichtsbehörde klare Informationen über grobe Rechtsverletzungen hatte, macht die Beschwerdeführerin nicht einmal ansatzweise geltend. Abgesehen davon, dass es daher auch aus diesem Grund gerechtfertigt ist, auf die Edition der Strafakten zu verzichten (vgl. E. 2.1 vorne), bildet das Verhalten des BSV Streitgegenstand eines separaten Verfahrens (vgl. auch E. 2.3 vorne).</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Die Beschwerdeführerin behauptet nicht, sie sei von den Beklagten 1, 4 und 13 aktiv davon abgehalten worden, ihre Aufgabe zu erfüllen. So oder anders erweist sich die Sorgfaltspflichtverletzung, welche die Beschwerdeführerin begangen hat und ausschliesslich in ihrem Verantwortungsbereich anzusiedeln ist, als derart grundlegend (vgl. E. 6.2.2 und 6.2.3 vorne), dass sie selbst bei - ebenfalls (vgl. E. 7 vorne) - grobem pflichtwidrigem Verhalten weiterer Protagonisten, mithin auch des BSV,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die Beschwerdeführerin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 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vgl. auch Art. 53 Abs. 1bis BVG , gültig bis Ende 2011). Herabsetzungsgründe nach Art. 43 Abs. 1 OR und nach dem hier in Frage kommenden Art. 44 Abs. 2 OR sind nicht gegeben. Die Pflichtverletzungen der Beschwerdeführerin sind als grobfahrlässig anzusehen (vgl. E. 7 vorne). Ein mildernder Umstand ist weder ersichtlich noch geltend gemacht.</w:t>
      </w:r>
    </w:p>
    <w:p>
      <w:r>
        <w:rPr>
          <w:b/>
        </w:rPr>
        <w:t>E. 9.3</w:t>
      </w:r>
    </w:p>
    <w:p>
      <w:r>
        <w:t>Die Vorinstanz beziffert den Schaden, für den die Beschwerdeführerin in zeitlicher Hinsicht verantwortlich zeichnet (ab 30. Juni 2005), auf Fr. 9'130'000.- (angefochtener Entscheid E. 4.8.5 S. 252). Diese Summe ist rechnerisch unbestritten. An den Beginn der Zurechenbarkeit (vgl. E. 6.2.2 vorne), welchen das kantonale Gericht aus prozessualen Gründen auf den 30. Juni 2005 festgelegt hat, ist das Bundesgericht gebunden ( Art. 107 Abs. 1 BGG ).</w:t>
      </w:r>
    </w:p>
    <w:p>
      <w:r>
        <w:rPr>
          <w:b/>
        </w:rPr>
        <w:t>E. 10</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11</w:t>
      </w:r>
    </w:p>
    <w:p>
      <w:r>
        <w:t>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der Beschwerdeführerin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