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246/2014 vom 18. Dezember 2014</w:t>
      </w:r>
    </w:p>
    <w:p>
      <w:r>
        <w:t>Bundesgericht, 2014-12-18, DE</w:t>
      </w:r>
    </w:p>
    <w:p>
      <w:r>
        <w:rPr>
          <w:b/>
        </w:rPr>
        <w:t xml:space="preserve">Quelle: </w:t>
      </w:r>
      <w:r>
        <w:t>https://mcp.opencaselaw.ch/entscheid/bger_9C_246_2014</w:t>
      </w:r>
    </w:p>
    <w:p>
      <w:r>
        <w:t>FR: TF 9C 246/2014 du 18 décembre 2014</w:t>
      </w:r>
    </w:p>
    <w:p>
      <w:r>
        <w:t>IT: TF 9C 246/2014 del 18 dicembre 2014</w:t>
      </w:r>
    </w:p>
    <w:p>
      <w:pPr>
        <w:pStyle w:val="Heading2"/>
      </w:pPr>
      <w:r>
        <w:t>Regeste</w:t>
      </w:r>
    </w:p>
    <w:p>
      <w:r>
        <w:t>Berufliche Vorsorge | Berufliche Vorsorge</w:t>
      </w:r>
    </w:p>
    <w:p>
      <w:pPr>
        <w:pStyle w:val="Heading2"/>
      </w:pPr>
      <w:r>
        <w:t>Erwägungen</w:t>
      </w:r>
    </w:p>
    <w:p>
      <w:r>
        <w:rPr>
          <w:b/>
        </w:rPr>
        <w:t>E. 1.1</w:t>
      </w:r>
    </w:p>
    <w:p>
      <w:r>
        <w:t>Mit der Beschwerde in öffentlich-rechtlichen Angelegenheiten kann u.a. die Verletzung von Bundesrecht gerügt werden ( Art. 95 lit. a BGG ). Das Bundesgericht legt seinem Urteil den Sachverhalt zu Grunde, den die Vorinstanz festgestellt hat ( Art. 105 Abs. 1 BGG ). Es kann die Sachverhaltsfeststellung der Vorinstanz von Amtes wegen - oder wenn gerügt ( Art. 97 Abs. 1 BGG ) - berichtigen oder ergänzen, wenn sie offensichtlich unrichtig ist oder auf einer Rechtsverletzung im Sinne von Artikel 95 beruht ( Art. 105 Abs. 2 BGG ).</w:t>
      </w:r>
    </w:p>
    <w:p>
      <w:r>
        <w:rPr>
          <w:b/>
        </w:rPr>
        <w:t>E. 1.1.1</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9C_967/2008 vom 5. Januar 2009 E. 5.1). Diese Grundsätze gelten auch in Bezug auf die konkrete Beweiswürdigung (Urteile 9C_999/2010 vom 14. Februar 2011 E. 1 und 9C_735/2010 vom 21. Oktober 2010 E. 3).</w:t>
      </w:r>
    </w:p>
    <w:p>
      <w:r>
        <w:rPr>
          <w:b/>
        </w:rPr>
        <w:t>E. 1.1.2</w:t>
      </w:r>
    </w:p>
    <w:p>
      <w:r>
        <w:t>Die Rüge des fehlerhaft festgestellten Sachverhalts bedarf einer qualifizierten Begründung. Es reicht nicht aus, in allgemeiner Form Kritik daran zu üben oder einen von den tatsächlichen Feststellungen der Vorinstanz abweichenden Sachverhalt zu behaupten oder seine eigene Beweiswürdigung zu erläutern (Urteile 9C_735/2010 vom 21. Oktober 2010 E. 3 und 9C_688/2007 vom 22. Januar 2008 E. 2.3). Die Rüge und ihre qualifizierte Begründung müssen in der Beschwerdeschrift selber enthalten sein. Der blosse Verweis auf Ausführungen in anderen Rechtsschriften oder auf die Akten genügt nicht (Urteile 8C_260/2010 vom 12. Januar 2011 E. 2.2.2 und 4A_28/2007 vom 30. Mai 2007 E. 1.3, nicht publ. in: BGE 133 III 421 ).</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vorgebrachten Rügen, sofern eine Rechtsverletzung nicht geradezu offensichtlich ist. Es ist jedenfalls nicht gehalten, wie eine erstinstanzliche Behörde alle sich stellenden rechtlichen Fragen zu prüfen, wenn diese vor Bundesgericht nicht mehr vorgetragen werden ( BGE 133 II 249 E. 1.4.1 S. 254).</w:t>
      </w:r>
    </w:p>
    <w:p>
      <w:r>
        <w:rPr>
          <w:b/>
        </w:rPr>
        <w:t>E. 2.1</w:t>
      </w:r>
    </w:p>
    <w:p>
      <w:r>
        <w:t>Das Bundesgericht sieht von einer Verfahrensvereinigung ab. Zwar betreffen sämtliche Beschwerden, die von 12 der 13 Beklagten einzeln oder gemeinsam eingelegt wurden, den nämlichen vorinstanzlichen Entscheid. Ebenso liegt ihnen grundsätzlich derselbe Sachverhalt zugrunde. In rechtlicher Hinsicht divergieren sie indessen insoweit, als die Sorgfaltspflichtverletzungen, welche den Beklagten vorgeworfen werden, sich auf Grund der unterschiedlichen Funktionen nicht entsprechen. Ferner besteht auch bei gleicher Verhaltenspflicht - zum Beispiel der verschiedenen Stiftungsräte - keine Rügeidentität und damit kein einheitlicher Überprüfungsgegenstand resp. keine einheitliche Überprüfungspflicht (vgl. dazu E. 1 vorne). Der Beschwerdeführer kann sich - anders als er zu glauben machen versucht - nicht darauf berufen, durch das Verhalten anderer Beklagten fehlgeleitet worden zu sein (vgl. E. 2.2 nachfolgend und E. 6.2.3 hinten). Auf welche Rechtsschriften und Beilagen, die von Mitbeklagten eingereicht wurden, er sich in der Beschwerde konkret abstützt, belässt der Beschwerdeführer im Dunkeln.</w:t>
      </w:r>
    </w:p>
    <w:p>
      <w:r>
        <w:rPr>
          <w:b/>
        </w:rPr>
        <w:t>E. 2.2</w:t>
      </w:r>
    </w:p>
    <w:p>
      <w:r>
        <w:t>Der Beizug der Zuger Strafakten (vgl. Sachverhalt lit. A.b) war - und ist auch vor Bundesgericht - nicht angezeigt. Zum einen haben das vorliegende Verfahren und das Strafverfahren, das sich gegen die Beklagten 1, 4 und 13 richtet (E. 6.2 S. 377 Abs. 2 des vorinstanzlichen Entscheids), unterschiedliche Ansatzpunkte. Während es hier primär um die Frage nach einer berufsvorsorgerechtlich relevanten Sorgfaltspflichtverletzung im Aufgabenbereich durch Unterlassung geht (vgl. E. 6.2 hinten), steht im Strafverfahren das Erfüllen von strafrechtlich relevanten Tatbeständen mit persönlicher Bereicherungsabsicht im Zentrum. Zum andern ist unbestritten, dass der Beschwerdeführer nicht durch strafrechtlich relevante Handlungen anderer (z.B. Betrug oder Urkundendelikte) daran gehindert wurde, seinen Pflichten nachzukommen (angefochtener Entscheid E. 4.7.3.2 S. 192). Die Gefahr von sich widersprechenden Urteilen ist deshalb nicht ersichtlich. Des Beizugs der Strafakten bedarf es auch nicht zur Bestimmung der Schadenshöhe (vgl. E. 5 hinten). Ein Berührungspunkt zwischen den beiden Verfahren, d.h. dem vorliegenden und dem Strafverfahren, findet sich einzig bezüglich der Frage, ob das strafrechtliche Fehlverhalten der Beklagten 1, 4 und 13 geeignet ist, den - hier - haftungsrelevanten Kausalzusammenhang (vgl. E. 8.1 hinten) zu unterbrechen. Nachdem ein solcher Unterbruch zu verneinen ist (vgl. E. 8.3 hinten), kann auch aus diesem Grund auf eine Edition verzichtet werden. Damit erweist sich auch das Sistierungsgesuch als unbegründet. Diesem sind ohnehin durch die gebotene Raschheit des Verfahrens ( Art. 73 Abs. 2 BVG ; Art. 29 Abs. 1 BV ) enge Grenzen gesetzt ( BGE 134 IV 43 E. 2.5 S. 47). Anzumerken bleibt, dass verschiedenste Unterlagen aus dem Strafverfahren vorliegend aktenkundig sind.</w:t>
      </w:r>
    </w:p>
    <w:p>
      <w:r>
        <w:rPr>
          <w:b/>
        </w:rPr>
        <w:t>E. 2.3</w:t>
      </w:r>
    </w:p>
    <w:p>
      <w:r>
        <w:t>Nicht anders verhält es sich hinsichtlich des hängigen Schadenersatzverfahrens gegen die Schweizerische Eidgenossenschaft. Weder drängt es sich auf, die entsprechenden Akten zu edieren noch das vorliegende Verfahren zu sistieren. Abgesehen davon, dass der Antrag auf Edition der Akten des Schadenersatzverfahrens gegen die Schweizerische Eidgenossenschaft nicht begründet ( Art. 42 Abs. 1 BGG ) ist, und unabhängig davon, ob er neu ist (vgl. Art. 99 Abs. 1 BGG ), vermöchte auch ein Mitverschulden des BSV den Kausalzusammenhang zwischen dem pflichtwidrigen Verhalten des Beschwerdeführers und des von ihm verursachten Schadens nicht zu unterbrechen (vgl. E. 8.3 hinten). Die Gefahr widersprüchlicher Urteile ist auch diesbezüglich nicht gegeben. Die beiden Verfahren, d.h. das vorliegende und das Schadenersatzverfahren gegen die Schweizerische Eidgenossenschaft, richten sich gegen verschiedene "Personen" und haben unterschiedliche Haftungsgrundlagen resp. Pflichtverletzungen als Prüfungsobjekt; die Aufgabenbereiche des Stiftungsrats und der Aufsichtsbehörde sind nicht deckungsgleich.</w:t>
      </w:r>
    </w:p>
    <w:p>
      <w:r>
        <w:rPr>
          <w:b/>
        </w:rPr>
        <w:t>E. 3.1.1</w:t>
      </w:r>
    </w:p>
    <w:p>
      <w:r>
        <w:t>Nach Art. 52 BVG in der bis Ende Dezember 2004 gültigen Fassung sind alle mit der Verwaltung, Geschäftsführung oder Kontrolle der Vorsorgeeinrichtung betrauten Personen für den Schaden verantwortlich, den sie ihr absichtlich oder fahrlässig zufügen. Diese Bestimmung findet sich auch heute noch im Gesetz, nur wurde sie per 1. Januar 2005 bzw. 1. Januar 2012 durch verschiedene - hier nicht relevante - Absätze erweitert (heute also Art. 52 Abs. 1 BVG und nachfolgend nurmehr diese Norm zitierend).</w:t>
      </w:r>
    </w:p>
    <w:p>
      <w:r>
        <w:rPr>
          <w:b/>
        </w:rPr>
        <w:t>E. 3.1.2</w:t>
      </w:r>
    </w:p>
    <w:p>
      <w:r>
        <w:t>Art. 52 Abs. 1 BVG , dessen Anwendungsbereich sich auch auf die weitergehende Vorsorge erstreckt ( Art. 49 Abs. 2 Ziff. 8 BVG ; Art. 89bis Abs. 6 Ziff. 6 ZGB [in der bis 31. Dezember 2012 geltenden Fassung]), kommt unabhängig von der Rechtsform der Vorsorgeeinrichtung zum Tragen. Er räumt der geschädigten Vorsorgeeinrichtung einen direkten Anspruch gegenüber dem näher umschriebenen Kreis der haftpflichtigen Personen ein. Darunter fallen insbesondere die Organe der Vorsorgeeinrichtung, im vorliegenden Fall der Stiftungsrat (vgl. Art. 51 BVG ). Diese Organeigenschaft kann wie im Rahmen der Verantwortlichkeitsvorschrift von Art. 52 AHVG auch eine bloss faktische sein. Neben der Zugehörigkeit zum Kreis der in Art. 52 BVG erwähnten Personen setzt die vermögensrechtliche Verantwortlichkeit als weitere kumulative Erfordernisse den Eintritt eines Schadens, die Missachtung einer einschlägigen berufsvorsorgerechtlichen Vorschrift, ein Verschulden sowie einen Kausalzusammenhang zwischen Schaden und haftungsbegründendem Verhalten voraus ( BGE 128 V 124 E. 4a S. 127 f.; SVR 2010 BVG Nr. 5 S. 17, 9C_421/2009 E. 5.2). Es genügt jedes Verschulden, also auch leichte Fahrlässigkeit (BGE a.a.O. E. 4e S. 132).</w:t>
      </w:r>
    </w:p>
    <w:p>
      <w:r>
        <w:rPr>
          <w:b/>
        </w:rPr>
        <w:t>E. 3.2.1</w:t>
      </w:r>
    </w:p>
    <w:p>
      <w:r>
        <w:t>Gemäss Art. 56a Abs. 1 BVG , ebenfalls in der bis Ende 2004 gültig gewesenen Fassung, hat der Sicherheitsfonds gegenüber Personen, die für die Zahlungsunfähigkeit der Vorsorgeeinrichtung oder des Versichertenkollektivs ein Verschulden trifft, ein Rückgriffsrecht im Umfang der sichergestellten Leistungen. Nach dieser Regelung subrogiert der Sicherheitsfonds nicht in die Ansprüche, die der Vorsorgeeinrichtung nach Art. 52 BVG zustehen, sondern hat einen eigenen Anspruch, der sich im Unterschied zur Haftung nach Art. 52 BVG nicht nur gegen Organe der Stiftung richtet, sondern auch gegen andere Personen, die an der Zahlungsunfähigkeit der Stiftung ein Verschulden trifft. Dass Art. 56a BVG nicht von Haftung im engeren Sinn (für ungedeckte Schäden), sondern von Rückgriffsrecht spricht, hängt nicht mit der fehlenden Verantwortlichkeit dieses Personenkreises für die eingetretene Zahlungsunfähigkeit der Vorsorgeeinrichtung und den daraus dem Sicherheitsfonds entstandenen Reflexschaden zusammen. Vielmehr ist diese Terminologie Ausdruck des gesetzlichen Aufgabenbereichs des Sicherheitsfonds, der zunächst im Schadensfall die Leistungen, welche die zahlungsunfähige Vorsorgeeinrichtung nicht mehr erbringen kann, im Aussenverhältnis sicherstellen muss und alsdann als Haftender für den ihm durch die Sicherstellung entstandenen Schaden die Verantwortlichen direkt regressweise belangen kann (Innenverhältnis), ohne dass vorgängig ein separater verwaltungs- oder zivilrechtlicher Prozess zwecks Feststellung der Haftung der Verantwortlichen angestrengt werden müsste. Damit ist Art. 56a BVG für die vom Sicherheitsfonds belangten, nicht schon von Art. 52 BVG erfassten Verantwortlichen als massgebliche Haftungsnorm zu verstehen. Obwohl im Wortlaut nicht erwähnt, setzt die Haftung nach Art. 56a BVG nebst dem Verschulden auch das Vorhandensein der anderen üblichen Haftungselemente (Schaden; Widerrechtlichkeit bzw. Pflichtwidrigkeit; natürlicher und adäquater Kausalzusammenhang zwischen Pflichtverletzung und Schaden) voraus ( BGE 135 V 373 E. 2.2 und 2.3 S. 375 f.; Urteil 9C_754/2011 vom 5. März 2012 E. 1.1 mit Hinweis auf BGE 130 V 227 E. 2.1 S. 280 und SVR 2008 BVG Nr. 33 S. 135, 9C_92/2007 E. 1.3).</w:t>
      </w:r>
    </w:p>
    <w:p>
      <w:r>
        <w:rPr>
          <w:b/>
        </w:rPr>
        <w:t>E. 3.2.2</w:t>
      </w:r>
    </w:p>
    <w:p>
      <w:r>
        <w:t>Im Rahmen der 1. BVG-Revision erfuhr Art. 56a Abs. 1 BVG - auf Antrag der nationalrätlichen Kommission - eine Änderung. Seit 1. Januar 2005 sieht er vor, dass der Sicherheitsfonds gegenüber Personen, die für die Zahlungsunfähigkeit der Vorsorgeeinrichtung oder des Versichertenkollektivs ein Verschulden trifft, im Zeitpunkt der Sicherstellung im Umfang der sichergestellten Leistungen in die Ansprüche der Vorsorgeeinrichtung eintreten kann. Mit dieser Anpassung wurde eine schnellere Geltendmachung von Ansprüchen durch den Sicherheitsfonds und die Erweiterung von dessen Handlungsspielraum bezweckt. Die Umschreibung des (persönlichen und sachlichen) Geltungsbereichs war zu keinem Zeitpunkt Thema (Protokoll der nationalrätlichen Kommission für soziale Sicherheit und Gesundheit vom 21./22. Februar 2002 S. 44; Protokoll der ständerätlichen Kommission für soziale Sicherheit und Gesundheit vom 4./5. November 2002 S. 22). Diesbezüglich kann somit weiterhin auf die zur früheren Regelung ergangene Rechtsprechung (vgl. E. 3.2.1) abgestellt werden.</w:t>
      </w:r>
    </w:p>
    <w:p>
      <w:r>
        <w:rPr>
          <w:b/>
        </w:rPr>
        <w:t>E. 3.2.3</w:t>
      </w:r>
    </w:p>
    <w:p>
      <w:r>
        <w:t>Zur Neureglung von Art. 56a BVG auf das Jahr 2005 wurde kein Übergangsrecht erlassen. Nach den allgemeinen Grundsätzen kommt eine neue Bestimmung nur auf Sachverhalte zur Anwendung, die sich nach dem Inkrafttreten verwirklicht haben. Bezogen auf die Sicherstellungsleistungen des Sicherheitsfonds heisst dies, dass die neue Bestimmung erst für Fälle zur Anwendung kommt, in denen die Sicherstellung nach dem 1. Januar 2005 erfolgte. In concreto hat der Sicherheitsfonds Ende Dezember 2006 Insolvenzleistungen für die Destinatäre der Stiftung in der Höhe von 33 Mio. Fr. erbracht. Damit ist die neue, bis Ende 2011 gültige Fassung von Art. 56a Abs. 1 BVG anzuwenden.</w:t>
      </w:r>
    </w:p>
    <w:p>
      <w:r>
        <w:rPr>
          <w:b/>
        </w:rPr>
        <w:t>E. 3.3</w:t>
      </w:r>
    </w:p>
    <w:p>
      <w:r>
        <w:t>Art. 52 Abs. 1 BVG und Art. 56a Abs. 1 BVG haben wohl zwei verschiedene "Schadensarten" zum Inhalt, einerseits den Schaden, der bei der Stiftung eingetreten ist ( Art. 52 BVG ), anderseits denjenigen, der beim Beschwerdegegner selber angefallen ist ( Art. 56a BVG ). Dessen ungeachtet ist grundsätzlich ein Schaden gegeben, als bei beiden Anspruchsnormen der gleiche Sachverhalt zu Grunde liegt, aus dem in Wechselwirkung der zitierten Gesetzesbestimmungen - Sicherstellung des bei der Vorsorgeeinrichtung entstandenen Schadens durch den Beschwerdegegner - eine kongruente Geldforderung resultiert (Urteil 9C_322/2012 vom 29. November 2012 E. 2.1.1). Davon zu unterscheiden ist die Frage, unter welchem Rechtstitel gegen wen vorgegangen bzw. wer für welchen Schadensbetrag belangt werden kann. Ersterer Punkt wird nachfolgend angegangen. Auf den zweiten Punkt wird weiter hinten zurück gekommen (vgl. E. 9).</w:t>
      </w:r>
    </w:p>
    <w:p>
      <w:r>
        <w:rPr>
          <w:b/>
        </w:rPr>
        <w:t>E. 4</w:t>
      </w:r>
    </w:p>
    <w:p>
      <w:r>
        <w:t>Die Vorinstanz hat für das Bundesgericht verbindlich und richtig festgestellt (vgl. E. 1 vorne), dass die Stiftung alle ihre Ansprüche, die sie gegen die Beklagten 1-13 zu haben glaubt, somit auch den aus Art. 52 BVG fliessenden Verantwortlichkeitsanspruch, formell korrekt an den Beschwerdegegner abgetreten hat (E. 4.2.1 S. 46 des kantonalen Entscheids). Mit Erklärung vom 13. Dezember 2010 trat dieser zudem gestützt auf Art. 56a Abs. 1 BVG in die Verantwortlichkeitsansprüche der Stiftung gegenüber den Beklagten 1-13 ein. In Anbetracht der materiellen Organstellung des Beschwerdeführers als Stiftungsrat steht hier Art. 52 Abs. 1 BVG als Anspruchsgrundlage im Vordergrund (vgl. E. 3.1.2 vorne). Der Beschwerdeführer wird aber auch gestützt auf Art. 56a BVG ins Recht gefasst (vorinstanzlicher Entscheid E. 5.4 S. 305). Nachdem es dabei um ein und denselben Schaden geht (vgl. E. 3.3 vorne), sind mit der Erfüllung der Haftungsvoraussetzungen von Art. 52 Abs. 1 BVG (Schaden, Sorgfaltspflichtverletzung, Verschulden, adäquater Kausalzusammenhang) selbstredend auch diejenigen von Art. 56a Abs. 1 BVG erfüllt (vgl. E. 3.2.1 Abs. 2 vorne).</w:t>
      </w:r>
    </w:p>
    <w:p>
      <w:r>
        <w:rPr>
          <w:b/>
        </w:rPr>
        <w:t>E. 5</w:t>
      </w:r>
    </w:p>
    <w:p>
      <w:r>
        <w:t>Was den Schaden betrifft, so hat das kantonale Gericht erwogen, die Abflüsse der Stiftung seien bis zur Höhe von Fr. 30'553'230.39 ausreichend substanziiert und würden vom Beschwerdeführer nicht bestritten (E. 4.3.3.5 S. 57 und 4.3.4.6 i.f. S. 65 des angefochtenen Entscheids). Dieser habe keine Bemerkungen zum Schaden gemacht und insbesondere nicht geltend gemacht, dass die Abflüsse rechtmässig gewesen seien (a.a.O. E. 4.3.5 S. 65). Der Beschwerdeführer widerspricht diesen Feststellungen nicht, sondern stellt die Vermutung in den Raum, der Schaden wäre bei pflichtgemässem Verhalten der Strafverfolgungsbehörden deutlich tiefer ausgefallen. Dabei handelt es sich um ein neues und unzulässiges Vorbringen ( Art. 99 Abs. 1 BGG ), welchem ohnehin nicht im vorliegenden Verfahren nachzugehen wäre. Die Verantwortlichkeit der Strafbehörden ist keine berufsvorsorgerechtliche Angelegenheit und hat keinen unmittelbaren Einfluss auf die hier zur Diskussion stehende Forderung des Sicherheitsfonds gegenüber den Beklagten.</w:t>
      </w:r>
    </w:p>
    <w:p>
      <w:r>
        <w:rPr>
          <w:b/>
        </w:rPr>
        <w:t>E. 6.1</w:t>
      </w:r>
    </w:p>
    <w:p>
      <w:r>
        <w:t>Hinsichtlich der stiftungsrätlichen Sorgfaltspflicht hat die Vorinstanz vorab deren Facetten dargelegt (allgemeine Sorgfaltspflichten, Sorgfaltspflichten bei der Delegation, Sorgfalt in der Führung, Informationsrechte und -pflichten, Pflichten bei der Vermögensverwendung, allgemeine Sorgfaltspflichten in der Vermögensanlage, besondere Überwachungspflichten in der Vermögensanlage, Meldepflichten, Treuepflicht; a.a.O. E. 4.4.2 S. 95 ff.). Sodann hat sie für die eigentliche Prüfung, ob eine Pflichtverletzung vorliegt, die Stiftungsräte in drei Gruppen zusammengefasst. Der Beschwerdeführer wurde dabei mit den Beklagten 5, 6 und 7 beurteilt, was nicht zu beanstanden ist, zumal in den Erwägungen zwischen den einzelnen Gruppenmitgliedern klar differenziert wird. Den allgemeinen Ausführungen der Vorinstanz zu den einzelnen Sorgfaltspflichten, auf die vollumfänglich verwiesen werden kann, ist anzufügen, dass die Haftung eines Stiftungsrates keiner Karenzfrist unterliegt. Dieser steht ab dem Tag der effektiven Begründung der Organstellung - hier unbestritten ab 1. Oktober 2005 (a.a.O. E. 4.7.1.3 i.f. S. 171) - in der vollen Pflicht ( BGE 128 V 124 E. 4b S. 128). Dies bedingt, dass er sich ein genügend umfassendes Bild der Einrichtung verschafft, bevor das Mandat übernommen wird. Die wichtigsten Bereiche, wozu u.a. die Organisation und die Anlagen sowie das Risikomanagement gehören, sind vor der Annahme des Stiftungsratsmandats zu prüfen (vgl. MÜLLER/LIPP/PLÜSS, Der Verwaltungsrat, Ein Handbuch für Theorie und Praxis, 4. Aufl. 2014, S. 21 f. Ziff. 1.2.7). Das heisst nicht, dass der Stiftungsrat schon bei Amtsantritt Verdacht schöpfen muss oder Nachforschungen zu betreiben hat, ohne dass ein begründeter Anlass besteht. Indes hat er sich von Anfang an aktiv um das Geschehen zu kümmern. Damit geht nicht eine Vorwirkung der Haftung einher. Deren Beginn, der sich, wie soeben dargelegt, nach der tatsächlichen Mandatsübernahme richtet, bleibt sich gleich. Daran ändert auch nichts, dass die Vorsorgeeinrichtung die Aus- und Weiterbildung der Arbeitnehmer- und Arbeitgebervertreter im obersten paritätischen Organ auf eine Weise zu gewährleisten hat, dass diese ihre Führungsaufgaben wahrnehmen können ( Art. 51 Abs. 6 BVG in der hier massgebenden, bis Ende 2011 gültigen Fassung; ab 1. Januar 2012: Art. 51a Abs. 2 lit. i BVG ). Abgesehen davon, dass das Gesetz nicht gebietet, sich erst nach Amtsantritt (erstmals) ausbilden zu lassen, bestimmt sich die Sorgfaltspflicht nicht nach dem Stand der Fachkenntnisse, sondern nach objektiven Kriterien. Dies ist auch der klare Wille des Gesetzgebers (vgl. dazu den im Nationalrat klar verworfenen Antrag, - zumindest - das Mass der Sorgfalt nach den Fachkenntnissen zu bestimmen [Protokoll der nationalrätlichen Kommission für soziale Sicherheit und Gesundheit vom 21./22. Februar 2002 S. 37 unten; AB 2002 N 551 f.]). Eine andere Frage ist, ob die Mandatsdauer ein rechtzeitiges Handeln zugelassen hätte (vgl. dazu E. 6.2.3 Abs. 2 hinten).</w:t>
      </w:r>
    </w:p>
    <w:p>
      <w:r>
        <w:rPr>
          <w:b/>
        </w:rPr>
        <w:t>E. 6.2</w:t>
      </w:r>
    </w:p>
    <w:p>
      <w:r>
        <w:t>Die Beklagten 5-8 sind erst in einem späteren Zeitpunkt dem Stiftungsrat beigetreten und sehen sich allesamt dem Vorwurf ausgesetzt, sich nach dem Eintritt zu passiv verhalten zu haben, womit sie eine Vergrösserung des Schadens billigend in Kauf genommen hätten (E. 4.4.1 i.f. S. 94 unten des angefochtenen Entscheids).</w:t>
      </w:r>
    </w:p>
    <w:p>
      <w:r>
        <w:rPr>
          <w:b/>
        </w:rPr>
        <w:t>E. 6.2.1</w:t>
      </w:r>
    </w:p>
    <w:p>
      <w:r>
        <w:t>Für die Geschäftsorganisation der Stiftung war der Umstand charakteristisch, dass zahlreiche Aufgaben an Dritte delegiert wurden (a.a.O. E. 3.4 S. 33 ff.) : Bereits in der Stiftungsurkunde wurde die Q.________ AG als technische Verwalterin bezeichnet. Bei dieser am 24. März 2003 gegründeten Gesellschaft mit Sitz an der gleichen Adresse wie die Stiftung sassen die Beklagten 1-3 von Beginn weg im Verwaltungsrat. Am 22. Dezember 2003 stiess der Beklagte 4 dazu. Mit Leistungsauftrag 1.0 vom 15. Juni 2004 - rückwirkend per 1. Januar 2004 - übertrug die Stiftung die vollständige unternehmerische und fachliche Führung, inkl. derjenige der in ihr zusammengeschlossenen Vorsorgewerke, auf die Q.________ AG. Die übertragenen Aufgaben umfassten die fachliche, organisatorische und technische Betreuung der bestehenden Kunden, das ordnungsgemässe administrative und buchhalterische Führen der einzelnen Versicherten- und Rentnerbestände sowie die Führung der dazugehörenden Kassen (Vorsorgewerke), das ordnungsgemässe administrative und buchhalterische Führen der Stiftung und der Stiftungsbuchhaltung inklusive aller notwendigen periodischen Abschlussarbeiten sowie die Kommunikation mit den Aufsichtsorganen und den staatlichen Stellen. Noch am gleichen Tag, d.h. am 15. Juni 2004, übertrug die Q.________ AG mit Leistungsauftrag 1.1 - ebenfalls rückwirkend auf den 1. Januar 2004 - die unternehmerische und fachliche Führung der Stiftung vollständig weiter an die R.________ AG, mit Sitz an der identischen Adresse wie die Stiftung und die Q.________ AG. Als Verwaltungsräte der R.________ AG amteten u.a. die Beklagten 1 (ab 15. Dezember 2000), 2 (ab 25. Januar 2002) und 4 (ab 18. Mai 2005). Der von ihr zu erfüllende Aufgabenkatalog entsprach dabei praktisch wörtlich demjenigen, der zuvor der Q.________ AG übertragen worden war. Die Buchhaltung der Stiftung wurde indessen weder von der Q.________ AG noch von der R.________ AG ausgeführt. Diese Aufgabe übernahm die Beklagte 11. Ebenfalls am 15. Juni 2004 unterzeichnete die Stiftung zwei Agenturverträge mit der R.________ AG. Diese wurde darin - rückwirkend auf den 1. Januar 2004 - mit der Akquisition von Neukunden beauftragt. Am 8. Januar 2004 schloss die Stiftung mit der S.________ Ltd., ansässig in T.________, einen Vermögensverwaltungsauftrag - rückwirkend auf den 1. November 2003 - ab. Dieser unterlag folgenden Einschränkungen: Die Verwaltungshandlungen waren im Rahmen des vorhandenen Anlagereglements der Stiftung vom 7. April 2003 vorzunehmen. Die S.________ Ltd. durfte keine Vermögensverwaltungsaktivitäten entfalten, ohne dass das Deckungskapital jederzeit zu 100 % abgesichert war bzw. nur solche Geschäfte abschliessen, welche eine Wertverminderung des Deckungskapitals ausschlossen. Dazu wurde ausdrücklich festgehalten, dass das Deckungskapital jederzeit im Besitz der Stiftung verblieb. Die beauftragte Vermögensverwalterin war auch nicht berechtigt, zur Verwaltung anvertraute Vermögenswerte an sich selbst oder an Dritte zu überweisen bzw. ausliefern zu lassen. Schliesslich wurde klargestellt, dass auf das noch zu definierende Bankkonto, auf welchem das Deckungskapital zu deponieren war, ausschliesslich Organe der Stiftung Zugriff haben durften. Der S.________ Ltd. wurden über die im Vertrag hinaus eingeräumten Rechte keine weiteren Rechte an den Vermögenswerten auf dem Bankkonto eingeräumt. Anfangs Juni 2004 schloss die Stiftung einen (weiteren) umfassenden Vermögensverwaltungsauftrag - ebenfalls rückwirkend auf den 1. November 2003 - mit der U.________ AG ab, welcher die Beklagten 4 und 13 als Verwaltungsräte angehörten. Der Auftrag war mit Blick auf das weitgehende freie Ermessen und die zu beachtenden Einschränkungen identisch abgefasst wie der zuvor erwähnte Vertrag mit der S.________ Ltd.. Ein wesentlicher Unterschied bestand darin, dass im Vertrag ein Bankkonto (Haupt-Nr. ...) bei der V.________ AG vordefiniert wurde. Am 16. Juni 2005 verlegte die U.________ AG ihren Sitz an die gleiche Adresse wie die Stiftung, die Q.________ AG und die R.________ AG. Mit einer Verwaltungsvollmacht für Finanzintermediäre vom 19. September 2003 räumte die Stiftung der Beklagten 12 das Recht ein, die unter der Stammnummer ... bei der V.________ AG deponierten Vermögenswerte ohne jede Einschränkung zu verwalten. Am 12. Februar 2004 räumte die Stiftung der Beklagten 12 erneut eine umfassende Verwaltungsvollmacht für Finanzintermediäre ein. Diesmal betraf es die Konti unter der Stammnummer ... bei der V.________ AG. Die Kontogruppe wurde auf dem Formular näher mit "Rubrik: R.________ AG" bezeichnet.</w:t>
      </w:r>
    </w:p>
    <w:p>
      <w:r>
        <w:rPr>
          <w:b/>
        </w:rPr>
        <w:t>E. 6.2.2</w:t>
      </w:r>
    </w:p>
    <w:p>
      <w:r>
        <w:t>Der Beschwerdeführer war in der hier fraglichen Zeit einzelzeichnungsberechtigter Geschäftsführer und Gesellschafter der Z.________ GmbH (E. 4.7.1.6 S. 178 des kantonalen Entscheids), und übte sein Stiftungsratsmandat ehrenamtlich als Vertreter der Arbeitnehmerschaft aus. Dabei wusste er um das Haftungsrisiko, insbesondere war ihm bewusst, dass er noch nicht versichert war. Ebenso wusste er, dass er im obersten Führungsorgan der Stiftung Einsitz nahm und dort verantwortlich dafür war, dass die gesetzlichen und reglementarischen Vorschriften eingehalten werden. Ihm war auch bekannt, dass der Stiftungsrat die Verantwortung für die Anlage der Stiftungsmittel trug und dass die Stiftung die Anlagetätigkeit an einen Dritten delegiert hatte. Schliesslich hatte er auch zur Kenntnis genommen, dass die Sparkapitalien in irgendeiner Form abgesichert wurden und dass die Stiftung zu diesem Zweck mit der V.________ AG zusammenarbeitete (a.a.O. E. 4.7.1.4 S. 173).</w:t>
      </w:r>
    </w:p>
    <w:p>
      <w:r>
        <w:rPr>
          <w:b/>
        </w:rPr>
        <w:t>E. 6.2.3</w:t>
      </w:r>
    </w:p>
    <w:p>
      <w:r>
        <w:t>Bei dieser - von der Vorinstanz festgestellten und für das Bundesgericht verbindlichen (vgl. E. 1.1 vorne) - Sachlage (vgl. E. 6.2.1 und E. 6.2.2 vorne) war es für den Beschwerdeführer wohl nicht einfach, das rund um die Stiftung aufgebaute Firmenkonglomerat zu überblicken. Dessen ungeachtet kann er sich nicht in die Rolle eines unbedarften Stiftungsrats flüchten. Erforderlich ist in jedem Fall die Sorgfalt, welche ein gewissenhafter Mandatsträger in der gleichen Lage bei der Besorgung der ihm übertragenen Aufgaben anzuwenden pflegt (vgl. E. 6.1 vorne). Diese (Sorgfalt) hätte hier vordringlich die Erfragung der - konkreten - Anlagestrategie und des Risikoprofils der Stiftung sowie der genauen Verhältnisse rund um die externalisierte Vermögensverwaltung verlangt. Das bei den Akten liegende Anlagereglement, Version vom 7. April 2003, weist nämlich kein Genehmigungsdatum auf. Den Stiftungsratsprotokollen lässt sich nichts Gegenteiliges entnehmen. Der Beschwerdeführer kann sich nicht mit dem Vorbringen begnügen, er sei systematisch getäuscht und bewusst mit Fehlinformationen beliefert worden, bzw. es sei absichtlich und mit teils kriminellen Handlungen der Anschein erweckt worden, die Stiftung sei finanziell gesund. Vordergründig wurde (n) wohl ein positiver Eindruck, vor allem positive Zahlen, vermittelt (z.B. provisorischer Jahresabschluss 2003/2004 mit einem Gewinn, Deckungsgrad per Ende 2004 von 101,1 % bzw. per Ende 2005 von 105,5 %). Der Stiftungsrat kann sich jedoch nicht allein am Ergebnis orientieren; insbesondere reicht der Deckungsgrad als Momentaufnahme nicht aus, um die finanzielle Lage einer Vorsorgeeinrichtung zu beurteilen. Er trägt die Verantwortung für ein gesetzlich und reglementarisch korrektes Handeln (Stiftungsstatut vom 1. Mai 2003 S. 3 oben Ziff. 6), weshalb er sich (auch) um die Gegebenheiten hinter den Zahlen kümmern muss. Dazu gehört die - dem Stiftungsrat als Ganzes zugewiesene (Stiftungsstatut vom 1. Mai 2003 S. 2 f. Punkt 6) - Anlagestrategie, die nicht an einen Dritten übertragbar ist, andernfalls der Grundsatz der Parität und die damit gewährten Mitentscheidungsrechte der Arbeitnehmenden illusorisch gemacht werden ( Art. 51 Abs. 1 BVG , in Kraft seit 1. April 2004; Art. 49a Abs. 1 BVV 2 in der bis Ende 2008 gültigen Fassung; GÄCHTER/GECKELER HUNZIKER, in: Handkommentar zum BVG und FZG, Schneider/Geiser/Gächter [Hrsg.], 2010, N. 55 f. zu Art. 51 BVG ; seit 1. Januar 2012: Art. 51a Abs. 2 lit. m BVG ). Entscheid und Verantwortung, welche eine hinreichende Kontrolltätigkeit betreffend die Durchführung des Anlageprozesses umfasst, verharren diesbezüglich und verharrten auch in concreto (Stiftungsstatut vom 1. Mai 2003 S. 2-5 Punkte 5-7) ungeteilt beim Stiftungsrat. Gemäss verbindlicher Feststellung der Vorinstanz (vgl. E. 1.1 vorne) hat der Beschwerdeführer insbesondere die mit der Vermögensverwaltung betraute U.________ AG zu keinem Zeitpunkt überwacht. Er hat auch bei den anderen Stiftungsratskollegen keine Dokumente angefordert, aus denen hervorgegangen wäre, dass andere Stiftungsräte die Tätigkeit der Vermögensverwaltungsgesellschaft in regelmässigen Abständen kontrollieren. Ausserdem hat die Vorinstanz - ebenfalls verbindlich (vgl. E. 1.1 vorne) - festgestellt, dass der Beschwerdeführer niemals der Frage nachgegangen ist, ob die Stiftung dem Vermögensverwalter überhaupt eine Anlagestrategie vorgegeben hatte, wie er auch nie den Bestand der Bankgarantie hinterfragt, vor allem nie kontrolliert hat, ob es die Garantie auch wirklich gab. Weder wollte er den Garantievertrag einsehen noch hat er sich nach Details zu diesem Vertrag erkundigt, etwa nach der Vertragsdauer, den Vertragskonditionen oder dem Zusammenhang zwischen dem extern vergebenen Vermögensverwaltungsauftrag und der Bankgarantie (E. 4.7.1.5 S. 173 f. des vorinstanzlichen Entscheids). Dem Beschwerdeführer war demnach weder das Risikoprofil der Stiftung bekannt noch wie die Stiftungsmittel angelegt waren. Ebenso wenig wusste er zu keinem Zeitpunkt, ob Anlageziele und -grundsätze eingehalten waren resp. ob und inwieweit Ist und Soll übereinstimmten, d.h. der externe Vermögensverwalter die Anlagestrategie und Anlagevorschriften befolgte und dem Risikoprofil Rechnung getragen wurde. Damit liegt die Verletzung einer elementaren Sorgfaltspflicht vor, die seit Amtsantritt des rund 10-monatigen Mandats aktuell war (vgl. E. 6.1 vorne) und deren Wahrnehmung kein Zuwarten erlaubte. Die Ehren- und Nebenamtlichkeit des Stiftungsratsmandats führen entgegen der Ansicht des Beschwerdeführers nicht dazu, dass diese Pflicht weniger zu achten gewesen wäre (SVR 2010 AHV Nr. 14 S. 52, 9C_145/2010 E. 5.3). BGE 115 II 64 E. 3a lässt sich nichts Gegenteiliges entnehmen. Daraus ergibt sich lediglich, dass höhere Anforderungen an denjenigen zu stellen sind, der seine Tätigkeit berufsmässig, gegen Entgelt ausübt. Vom Beschwerdeführer wird jedoch nicht mehr als von jedem durchschnittlich sorgfältig agierenden Stiftungsrat verlangt. Ein promptes Handeln drängte sich umso mehr auf, als sich die Organisation der Stiftung auf keine reglementarische Grundlage resp. ordentliche Beschlussfassung mit klar umschriebenen Kompetenzen abstützen liess, sondern Folge gelebter Verhältnisse war, die nicht weiter definiert waren, wie die Vorinstanz für das Bundesgericht verbindlich festgestellt hat (E. 3.7.3 S. 42 des angefochtenen Entscheids); gleichermassen fest steht, dass sich der Beschwerdeführer nie nach dem Vorhandensein eines Organisationsreglements erkundigt bzw. dessen Fehlen angemahnt hat (a.a.O. E. 4.7.1.5 S. 174; vgl. E. 1.1 vorne).</w:t>
      </w:r>
    </w:p>
    <w:p>
      <w:r>
        <w:rPr>
          <w:b/>
        </w:rPr>
        <w:t>E. 7</w:t>
      </w:r>
    </w:p>
    <w:p>
      <w:r>
        <w:t>Vor dem Hintergrund des in E. 6 Gesagten stellt die Passivität des Beschwerdeführers ein grobfahrlässiges und schuldhaftes Verhalten dar; die Berücksichtigung persönlicher Umstände ist nicht gerechtfertigt. Allein sein Versäumnis auf der Kontrollebene (vgl. E. 6.2.3) ist als besonders gravierend anzusehen. Die entsprechende Unterlassung - der Beschwerdeführer hat keine Dokumente angefordert, aus denen hervorgegangen wäre, dass die Tätigkeit der Vermögensverwaltungsgesellschaften in regelmässigen Abständen auf die Anlageziele und -grundsätze kontrolliert wird - hat Raum für ein freies Agieren und einen fortgesetzten Abfluss der Stiftungsmittel geschaffen. Die weiteren Pflichtverletzungen (vgl. E. 6.2.3 vorne) zementieren dieses Bild. Indem die Vorinstanz die Voraussetzung des Verschuldens "pauschal für mehrerer Beklagte zusammen" abgehandelt hat, wie der Beschwerdeführer moniert, hat sie ihre Begründungspflicht nicht verletzt. Einerseits hat sie sehr wohl Differenzierungen vorgenommen (E. 4.7.2 S. 189 f. des vorinstanzlichen Entscheids). Anderseits ist eine solche nicht erforderlich, soweit sich - wie vorliegend - mehrerer Stiftungsräte gleich passiv verhalten haben.</w:t>
      </w:r>
    </w:p>
    <w:p>
      <w:r>
        <w:rPr>
          <w:b/>
        </w:rPr>
        <w:t>E. 8.1</w:t>
      </w:r>
    </w:p>
    <w:p>
      <w:r>
        <w:t>Zwischen der pflichtwidrigen Handlung und dem eingetretenen Erfolg muss ein natürlicher und adäquater Kausalzusammenhang bestehen. Die natürliche Kausalität ist gegeben, wenn ein Handeln Ursache im Sinn einer condicio sine qua non für den Eintritt eines Erfolgs ist. Dies ist eine Tatfrage. Rechtsfrage ist demgegenüber, ob zwischen der Ursache und dem Erfolgseintritt ein adäquater Kausalzusammenhang besteht ( BGE 132 III 715 E. 2.2 S. 718 mit Hinweisen). Im Fall einer Unterlassung bestimmt sich der Kausalzusammenhang danach, ob der Erfolg auch bei Vornahme der unterlassenen Handlung eingetreten wäre. Es geht um einen hypothetischen Kausalverlauf, für den nach den Erfahrungen des Lebens und dem gewöhnlichen Lauf der Dinge eine überwiegende Wahrscheinlichkeit sprechen muss ( BGE 124 III 155 E. 3d S. 165 f.). Grundsätzlich unterscheidet die Rechtsprechung auch bei Unterlassungen zwischen natürlichem und adäquatem Kausalzusammenhang. Während bei Handlungen die wertenden Gesichtspunkte erst bei der Beurteilung der Adäquanz zum Tragen kommen, spielen diese Gesichtspunkte bei Unterlassungen in der Regel schon bei der Feststellung des hypothetischen Kausalverlaufs eine Rolle. Es ist daher bei Unterlassungen in der Regel nicht sinnvoll, den festgestellten oder angenommenen hypothetischen Geschehensablauf auch noch auf seine Adäquanz zu prüfen. Die Feststellungen des Sachrichters im Zusammenhang mit Unterlassungen sind daher entsprechend der allgemeinen Regel über die Verbindlichkeit der Feststellungen zum natürlichen Kausalzusammenhang für das Bundesgericht bindend (vgl. E. 1.1 vorne). Nur wenn die hypothetische Kausalität ausschliesslich gestützt auf die allgemeine Lebenserfahrung - und nicht gestützt auf Beweismittel - festgestellt wird, unterliegt sie der freien Überprüfung durch das Bundesgericht ( BGE 132 III 305 E. 3.5 S. 311, 715 E. 2.3 S. 718 f.; 115 II 440 E. 5a S. 447 f.; je mit Hinweisen; im Strafrecht: Urteil 6B_779/2009 vom 12. April 2010 E. 3.3.2).</w:t>
      </w:r>
    </w:p>
    <w:p>
      <w:r>
        <w:rPr>
          <w:b/>
        </w:rPr>
        <w:t>E. 8.2</w:t>
      </w:r>
    </w:p>
    <w:p>
      <w:r>
        <w:t>Der Beschwerdeführer macht sinngemäss geltend, die Vorinstanz habe sich zur Begründung des (hypothetischen und gleichzeitig adäquaten) Kausalzusammenhangs auf die allgemeine Lebenserfahrung gestützt (E. 4.7.3 S. 191 des kantonalen Entscheids). Dessen ungeachtet kann - auch bei einer freien Prüfung - seiner Sicht der Dinge nicht gefolgt werden. Der Beschwerdeführer wurde nicht durch strafrechtlich relevante Handlungen anderer (z.B. Betrug oder Urkundendelikte) daran gehindert, seiner Kontrollpflicht nachzukommen (vgl. E. 2.2 vorne). Die Wahrnehmung der in E. 6.2.3 vorne aufgezeigten Sorgfaltspflicht - Vergewisserung, dass die Anlageziele und -grundsätze bei der Umsetzung eingehalten werden - setzt belegte Kenntnisse über den Soll-Zustand (als Massstab und Ausgang der Kontrolle) voraus. Die Überwachung der Vermögensanlage resp. Vermögensbewirtschaftung hat seit jeher "nachvollziehbar" zu erfolgen (vgl. Art. 49a Abs. 1 BVV 2 in den seit 1. Juli 1996 gültigen Fassungen), was schriftliche und verständliche Informationen bedingt. Wäre der Beschwerdeführer seiner Aufgabe nachgekommen, hätte er den dafür erforderlichen Grundlagen substanziiert nachgehen müssen. Dabei wäre er unweigerlich auf Diskrepanzen (bezüglich der Risikofähigkeit), auf Ungereimtheiten ("parallele" Vermögensverwaltung [S.________ Ltd. und U.________ AG plus L.________ AG]) sowie auf Lücken (fehlende Vorgaben [in der Anlage] und fehlende Reglemente resp. Beschlüsse [v.a. hinsichtlich der Organisation]) gestossen. Da diese Missstände das (finanzielle) Fundament der Stiftung betreffen, ist nach den Erfahrungen des Lebens und dem gewöhnlichen Lauf der Dinge überwiegend wahrscheinlich, dass der Beschwerdeführer schon wegen der besagten Lücken (fehlende Vorgaben [in der Anlage] und fehlende Reglemente resp. Beschlüsse [v.a. hinsichtlich der Organisation]), die leicht und rasch auszumachen gewesen wären, umgehend eingegriffen hätte, und damit der Abfluss weiterer Stiftungsmittel verhindert worden wäre. Im äussersten Fall hätte er die Stiftung - wäre er weder bei den übrigen (zumindest Arbeitnehmer vertretenden) Stiftungsräten noch der Kontrollstelle auf Gehör gestossen - bei der Aufsichtsbehörde verzeigt, die unverzüglich eingeschritten wäre (vgl. SZS 2012 S. 374, 9C_823/2011 E. 2.2). Denn es standen offensichtlich, anders als in anderer (fallbezogener) Angelegenheit, in der die Aufsichtsbehörde scheinbar eine abwartende Haltung eingenommen hatte, wie der Beschwerdeführer vorbringt, die vitalen Interessen der Stiftung auf dem Spiel. Dass die Vermögensabflüsse durch die Skepsis des Beschwerdeführers beschleunigt worden wären und ein sofortiger Stopp illusorisch anmutet, mag ein hypothetischer Kausalverlauf sein. Überwiegend wahrscheinlicher ist jedoch, dass von Anfang an demonstrierte Aufmerksamkeit und das Pochen auf Reglements- und Gesetzesmässigkeit den Freiraum (vgl. E. 7 vorne) eingeschränkt und die "Wertvernichtung" unterbunden hätte. Die vorinstanzliche Schlussfolgerung ist demnach zu bestätigen, wodurch die Beweislastregelung von Art. 8 ZGB gegenstandslos wird.</w:t>
      </w:r>
    </w:p>
    <w:p>
      <w:r>
        <w:rPr>
          <w:b/>
        </w:rPr>
        <w:t>E. 8.3</w:t>
      </w:r>
    </w:p>
    <w:p>
      <w:r>
        <w:t>Eine Haftungsbeschränkung wegen mitwirkenden Drittverschuldens zieht das Bundesgericht bloss als eher theoretische Möglichkeit in Betracht, die, wenn überhaupt, nur bei einer ausgesprochen exzeptionellen Sachlage von praktischer Bedeutung sein kann; so etwa, wenn das Verschulden des in Anspruch genommenen Haftpflichtigen als so leicht erscheint und in einem derartigen Missverhältnis zum Verschulden des Dritten steht, dass es offensichtlich ungerecht wäre, wenn jener den ganzen Schaden tragen müsste (z.B. BGE 140 V 405 E. 6.1 S. 417; Urteil 9C_328/2012 vom 11. Dezember 2012 E. 2.3). Von einer solchen Konstellation kann hier nicht gesprochen werden. Soweit der Beschwerdeführer vorbringt, die Mittelabflüsse seien mit einer hohen kriminellen Energie perfekt aufgegleist und gesteuert worden, übersieht er, dass hinsichtlich des hier fraglichen Aufgabenbereichs (vgl. E. 6.2.3 vorne) eine Irreführung durch deliktisches Handeln ausgeschlossen werden kann (vgl. E. 2.2 und 8.2 vorne). Zudem erweist sich die Sorgfaltspflichtverletzung, die der Beschwerdeführer begangen hat und ausschliesslich in seinem Verantwortungsbereich anzusiedeln ist, als derart grundlegend (vgl. E. 6.2.3 und E. 8.2 vorne), dass sie selbst bei - ebenfalls (vgl. E. 7 vorne) - grobem pflichtwidrigem Verhalten weiterer Protagonisten nicht komplett in den Hintergrund gedrängt resp. zur absoluten Bedeutungslosigkeit degradiert wird.</w:t>
      </w:r>
    </w:p>
    <w:p>
      <w:r>
        <w:rPr>
          <w:b/>
        </w:rPr>
        <w:t>E. 9</w:t>
      </w:r>
    </w:p>
    <w:p>
      <w:r>
        <w:t>Zusammenfassend sind sämtliche Haftungsvoraussetzungen von Art. 52 Abs. 1 bzw. Art. 56a BVG erfüllt. Es ist sowohl ein Schaden (E. 5) als auch eine Sorgfaltspflichtverletzung (E. 6) sowie ein Verschulden (E. 7) und ein adäquater Kausalzusammenhang (E. 8) gegeben. Zu prüfen bleibt, für welchen Schadensbetrag der Beschwerdeführer vom Sicherheitsfonds belangt werden kann.</w:t>
      </w:r>
    </w:p>
    <w:p>
      <w:r>
        <w:rPr>
          <w:b/>
        </w:rPr>
        <w:t>E. 9.1</w:t>
      </w:r>
    </w:p>
    <w:p>
      <w:r>
        <w:t>Die Personen, für welche die Haftungsvoraussetzungen von adäquater Verursachung, Pflichtwidrigkeit und Verschulden gegeben sind, haften untereinander solidarisch. Haben sie den Schaden gemeinsam verursacht und gemeinsam verschuldet, besteht echte Solidarität mit der Folge, dass jede einzelne Person für den ganzen Schaden einzustehen hat. Haben sie unabhängig von einander gehandelt, haftet jeder Einzelne nur in dem Umfang, in dem er den Schaden verursacht hat (unechte Solidarität). Mit anderen Worten ist Solidarität nur im Ausmass des von der einzelnen Person zu Verantwortenden gegeben. Diese allgemeine Regel gilt auch bezüglich Art. 56a BVG ( BGE 139 V 176 E. 8.5 S. 190 f. mit weiteren Hinweisen auf die Rechtsprechung; vgl. auch ISABELLE VETTER-SCHREIBER, BVG, FZG: Kommentar, 3. Aufl. 2013, N. 3 zu Art. 56a BVG ), welche Bestimmung im vorliegend zu erörternden Punkt im Vordergrund steht, da sie - was den haftpflichtigen Personenkreis betrifft - über die Organhaftung hinaus geht (vgl. E. 3.2.1 Abs. 2 vorne).</w:t>
      </w:r>
    </w:p>
    <w:p>
      <w:r>
        <w:rPr>
          <w:b/>
        </w:rPr>
        <w:t>E. 9.2</w:t>
      </w:r>
    </w:p>
    <w:p>
      <w:r>
        <w:t>Die mit Art. 759 Abs. 1 OR eingeführte differenzierte Solidarität bedeutet, dass der Umfang der Ersatzpflicht eines solidarisch Haftenden im Aussenverhältnis individuell bestimmt wird. Der Haftpflichtige kann demnach den Geschädigten gegenüber geltend machen, dass ihn kein oder nur ein geringes Verschulden treffe oder für ihn allenfalls ein anderer Herabsetzungsgrund nach Art. 43 Abs. 1 und Art. 44 OR gelte (Urteil 6B_54/2008 vom 9. Mai 2008 E. 10.4 m.H.a. BGE 132 III 564 E. 7 S. 577 f.; GERICKE/WALLER, in: Basler Kommentar, Obligationenrecht, Bd. II, 4. Aufl. 2012, N. 4 zu Art. 759 OR ). Es kann (weiterhin) offen bleiben (vgl. BGE 128 V 124 E. 4g S. 133 hinsichtlich Art. 52 BVG ), ob die im Aktienrecht beheimatete differenzierte Solidarität auch in Bezug auf die berufsvorsorgerechtliche Schadenersatzpflicht gelten soll (vgl. dazu immerhin RITA TRIGO TRINDADE, Fondations de prévoyance et responsabilité: développements récents, in: Trigo Trindade/Anderson [Hrsg.], Institutions de prévoyance: devoirs et responsabilité civile, 2006, S. 161 f.). Das kantonale Gericht hat einlässlich dargelegt, dass kein Herabsetzungsgrund nach Art. 43 Abs. 1 OR und dem hier in Frage kommenden Art. 44 Abs. 2 OR besteht (E. 4.7.4.2 S. 202 f. des vorinstanzlichen Entscheids). Ihm kommt dabei ein weites Ermessen zu ( BGE 131 III 12 E. 4.2 S. 15 mit Hinweis), bei dessen Überprüfung das Bundesgericht Zurückhaltung übt. Es schreitet nur ein,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Ausserdem greift das Bundesgericht in Ermessensentscheide ein, falls sich diese als offensichtlich unbillig, als in stossender Weise ungerecht erweisen ( BGE 135 III 121 E. 2 S. 123 f.; 131 III 12 E. 4.2 S. 15). Davon kann hier - insbesondere in Anbetracht von E. 7 vorne - nicht die Rede sein.</w:t>
      </w:r>
    </w:p>
    <w:p>
      <w:r>
        <w:rPr>
          <w:b/>
        </w:rPr>
        <w:t>E. 9.3</w:t>
      </w:r>
    </w:p>
    <w:p>
      <w:r>
        <w:t>Die Vorinstanz beziffert den Schaden, für den der Beschwerdeführer in zeitlicher Hinsicht verantwortlich zeichnet, auf Fr. 3'900'000.- (E. 4.7.5 S. 203 f. des angefochtenen Entscheids). Diese Summe ist rechnerisch unbestritten. Zwar ging das kantonale Gericht - entgegen E. 6.1 vorne - von einer Anrechenbarkeit erst ab 11. Januar 2006 aus (a.a.O. E. 4.7.5 S. 203). Das Bundesgericht hat sich indessen an die Begehren der Parteien zu halten ( Art. 107 Abs. 1 BGG ).</w:t>
      </w:r>
    </w:p>
    <w:p>
      <w:r>
        <w:rPr>
          <w:b/>
        </w:rPr>
        <w:t>E. 10</w:t>
      </w:r>
    </w:p>
    <w:p>
      <w:r>
        <w:t>Damit erweist sich die Beschwerde insgesamt als unbegründet und ist abzuweisen. Indes ist die vorinstanzliche Dispositiv-Ziffer 1 im Sinne der - ebenfalls heute ergangenen - Urteile 9C_248/2014 E. 9.4 und 9C_230/2014 von Amtes wegen abzuändern.</w:t>
      </w:r>
    </w:p>
    <w:p>
      <w:r>
        <w:rPr>
          <w:b/>
        </w:rPr>
        <w:t>E. 11</w:t>
      </w:r>
    </w:p>
    <w:p>
      <w:r>
        <w:t>Die elf Beschwerdeverfahren, welche ein und denselben angefochtenen Entscheid betreffen, wurden zwar nicht formell vereinigt (vgl. E. 2.1 vorne). Dennoch sind die jeweiligen Gerichtskosten auf der Grundlage einer gesamthaften Gerichtsgebühr (für alle elf Verfahren zusammen) von rund Fr. 50'000.- festzusetzen ( Art. 65 BGG ; Tarif für die Gerichtsgebühren im Verfahren vor dem Bundesgericht [SR 173.110.210.1]). Dem Verfahrensausgang entsprechend gehen die (anteilsmässigen) Gerichtskosten zu Lasten des Beschwerdeführers ( Art. 66 Abs. 1 Satz 1 BGG ). Dem anwaltlich nicht vertretenen Beschwerdegegner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