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9C_246/2013 vom 20. September 2013</w:t>
      </w:r>
    </w:p>
    <w:p>
      <w:r>
        <w:t>Bundesgericht, 2013-09-20, FR</w:t>
      </w:r>
    </w:p>
    <w:p>
      <w:r>
        <w:rPr>
          <w:b/>
        </w:rPr>
        <w:t xml:space="preserve">Quelle: </w:t>
      </w:r>
      <w:r>
        <w:t>https://mcp.opencaselaw.ch/entscheid/bger_9C_246_2013</w:t>
      </w:r>
    </w:p>
    <w:p>
      <w:r>
        <w:t>FR: TF 9C_246/2013 du 20 septembre 2013</w:t>
      </w:r>
    </w:p>
    <w:p>
      <w:r>
        <w:t>IT: TF 9C_246/2013 del 20 settembre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le droit du recourant à une rente de l'assurance-invalidité dans le cadre d'une nouvelle demande de prestations, singulièrement sur le point de savoir si, par analogie avec l' art. 17 LPGA , on est en présence, ou non, d'une modification sensible de l'état de santé de celui-ci depuis la décision du 27 mars 2006 justifiant désormais l'attribution d'une rente. Eu égard au dispositif du jugement entrepris, aux griefs de l'assuré ainsi qu'aux exigences de motivation de l' art. 42 al. 2 LTF ( ATF 133 III 545 consid. 2.2 p. 550; Florence Aubry Girardin, Commentaire de la LTF, 2009, n° 25 ad art. 42 LTF ), il convient d'examiner si le droit d'être entendu du recourant a été violé pendant la procédure cantonale (cf. recours p. 7 ss), si les premiers juges ont procédé à une interprétation arbitraire des rapports d'expertise (cf. recours p. 9 sv.) et s'ils ont contrevenu à l' art. 28 LAI (cf. recours p. 10 sv.).</w:t>
      </w:r>
    </w:p>
    <w:p>
      <w:r>
        <w:rPr>
          <w:b/>
        </w:rPr>
        <w:t>E. 2.2</w:t>
      </w:r>
    </w:p>
    <w:p>
      <w:r>
        <w:t>Le jugement entrepris cite correctement la plupart des dispositions légales ou des principes jurisprudentiels nécessaires à la résolution du litige. Il suffit donc d'y renvoyer. On précisera que lorsque l'autorité administrative ou de recours entre en matière sur une nouvelle demande ( art. 87 al. 4 RAI ), elle doit procéder de la même manière que dans les cas de révision au sens de l' art. 17 al. 1 LPGA ( ATF 133 V 545 consid. 6 p. 546 ss) c'est-à-dire comparer les circonstances existant lorsque la nouvelle décision est prise avec celles qui existaient lorsque la dernière décision reposant sur un examen matériel du droit à la rente est entrée en force ( ATF 133 V 108 ; 130 V 71 ) pour apprécier si dans l'intervalle est intervenue une modification sensible du degré d'invalidité justifiant désormais l'octroi d'une rente.</w:t>
      </w:r>
    </w:p>
    <w:p>
      <w:r>
        <w:rPr>
          <w:b/>
        </w:rPr>
        <w:t>E. 3.1</w:t>
      </w:r>
    </w:p>
    <w:p>
      <w:r>
        <w:t>L'argumentation de l'assuré, selon laquelle la juridiction cantonale aurait violé son droit d'être entendu en se référant à des expertises réalisées en l'absence d'interprète et en refusant d'entendre la doctoresse B.________, n'est pas fondée. Si le droit à l'assistance d'un interprète découle effectivement de l' art. 29 Cst. (arrêt 2C_18/2007 du 2 juillet 2007 consid. 3.2 et les références), il ressort en l'occurrence très clairement des actes cantonaux d'instruction que les docteurs O.________ et Z.________ ont eu recours aux services d'un interprète pour effectuer leurs investigations. Par ailleurs, le droit d'être entendu n'empêche aucunement le juge de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 ATF 131 I 153 consid. 3 p. 157). Or, le tribunal cantonal n'a pas jugé utile d'auditionner la doctoresse B.________ dès lors qu'il l'avait déjà fait et que celle-ci n'avait évoqué aucun élément qui aurait été ignoré par les experts. Cette appréciation anticipée de la preuve requise ne saurait être mise en doute par le fait que le caractère fruste du recourant l'aurait empêché de bien saisir les questions des experts et que seule la doctoresse B.________ serait capable de le comprendre dès lors qu'il ne s'agit que d'une allégation, non étayée, et que le docteur Z.________ était pleinement conscient de l'intelligence fruste de l'assuré et des difficultés que cela pouvait engendrer dans la réalisation des investigations. Il ne saurait donc être reproché aux premiers juges d'avoir contrevenu au droit d'être entendu du recourant.</w:t>
      </w:r>
    </w:p>
    <w:p>
      <w:r>
        <w:rPr>
          <w:b/>
        </w:rPr>
        <w:t>E. 3.2</w:t>
      </w:r>
    </w:p>
    <w:p>
      <w:r>
        <w:t>Le recourant reproche également à la juridiction cantonale d'avoir fait preuve d'arbitraire en se référant à des rapports d'expertise qui ne contenaient pas de volet neurologique et en substituant sa propre opinion à celle de l'expert psychiatre lorsqu'elle a écarté le caractère incapacitant des affections psychiatriques diagnostiquées. Cet argument n'est pas plus fondé que le précédent. Si l'on peut certes douter de la compétence du tribunal cantonal à remettre en question l'indépendance de l'épisode dépressif moyen par rapport au syndrome somatoforme douloureux et à son impact sur la capacité de travail, quoi qu'en dise le SMR, ce point peut rester indécis dans la mesure où il a été constaté que, même avec une capacité résiduelle de travail de 40%, comme indiquée par le docteur Z.________, le taux d'invalidité serait insuffisant pour donner droit à une rente. Or, cette constatation n'est en l'occurrence nullement contestée. Les considérations de l'assuré relatives aux critères donnant au syndrome somatoforme douloureux persistant un caractère invalidant n'y changent rien. On relèvera de surcroît que le docteur O.________ a procédé à un examen neurologique et a notamment retenu une neuropathie ulnaire au coude droit. On ne saurait dès lors retenir une appréciation arbitraire des preuves.</w:t>
      </w:r>
    </w:p>
    <w:p>
      <w:r>
        <w:rPr>
          <w:b/>
        </w:rPr>
        <w:t>E. 3.3</w:t>
      </w:r>
    </w:p>
    <w:p>
      <w:r>
        <w:t>Le recourant soutient enfin qu'il n'a ni les capacités physiques, ni psychiques, ni intellectuelles pour exercer une autre activité que celle de maçon et que les premiers juges auraient dû lui reconnaître sur la base des expertises judiciaires le droit à une rente entière sous peine de violer l' art. 28 LAI . Outre le fait que cette affirmation n'est nullement motivée, on relèvera que celle-ci est clairement contraire aux éléments médicaux fondant le jugement cantonal qui n'a pas été valablement remis en cause. Le recours doit donc également être rejeté sur ce point.</w:t>
      </w:r>
    </w:p>
    <w:p>
      <w:r>
        <w:rPr>
          <w:b/>
        </w:rPr>
        <w:t>E. 4</w:t>
      </w:r>
    </w:p>
    <w:p>
      <w:r>
        <w:t>Vu l'issue du litige, les frais judiciaires sont mis à la charge de l'assuré ( art. 66 al. 1 LTF ) qui ne peut prétendre des dépens ( art. 68 al. 1 LTF ), d'autant moins que celui qui agit dans sa propre cause sans l'assistance d'un avocat n'y a en principe pas droit ( ATF 133 III 439 consid. 4 p. 446 et les références). L'assistance judiciaire lui est toutefois accordée puisqu'il en remplit les conditions d'octroi ( art. 64 al. 1 et 2 LTF ) mais il est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