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246/2007 vom 16. Oktober 2007</w:t>
      </w:r>
    </w:p>
    <w:p>
      <w:r>
        <w:t>Bundesgericht, 2007-10-16, DE</w:t>
      </w:r>
    </w:p>
    <w:p>
      <w:r>
        <w:rPr>
          <w:b/>
        </w:rPr>
        <w:t xml:space="preserve">Quelle: </w:t>
      </w:r>
      <w:r>
        <w:t>https://mcp.opencaselaw.ch/entscheid/bger_9C_246_2007</w:t>
      </w:r>
    </w:p>
    <w:p>
      <w:r>
        <w:t>FR: TF 9C 246/2007 du 16 octobre 2007</w:t>
      </w:r>
    </w:p>
    <w:p>
      <w:r>
        <w:t>IT: TF 9C 246/2007 del 16 ottobre 2007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Beschwerdeführerin unter dem Titel Hilfsmittel nach Art. 21 und Art. 21bis IVG Anspruch auf Ersatz der Kosten für die Automatisierung der Storen hat. Das kantonale Versicherungsgericht hat die zur Beurteilung dieser Streitfrage einschlägigen Rechtsgrundlagen zutreffend dargelegt. Darauf wird verwiesen ( Art. 109 Abs. 3 BGG ).</w:t>
      </w:r>
    </w:p>
    <w:p>
      <w:r>
        <w:rPr>
          <w:b/>
        </w:rPr>
        <w:t>E. 3.1</w:t>
      </w:r>
    </w:p>
    <w:p>
      <w:r>
        <w:t>Das kantonale Gericht verneint den Anspruch der Beschwerdeführerin auf Kostenersatz für die Automatisierung der Storen zunächst mit der zutreffenden Begründung, dass an die Eingliederungswirksamkeit kostspieliger Hilfsmittel, worunter invaliditätsbedingte bauliche Änderungen am Arbeitsplatz und im Aufgabenbereich nach Ziff. 13.04* HVI-Anhang fallen, erhöhte Anforderungen gestellt werden. Nach Rz. 1019 des Kreisschreibens über die Abgabe von Hilfsmitteln durch die Invalidenversicherung (KHMI) wird als Richtmass eine quantitative Eingliederungswirksamkeit im Aufgabenbereich von mindestens 10 % (gemäss Haushaltsabklärung) verlangt (siehe dazu BGE 129 V 67 E. 1.1.2 S. 68). Die Vorinstanz hat dazu festgestellt, dass die Storenbedienung, welche dem Teilbereich Haushaltsführung, der seinerseits in der Regel nicht mehr als 2-5 % der gesamten Haushaltsaufgaben ausmache, zuzuordnen sei; die Arbeitsfähigkeit im Haushalt könne daher nur gering gesteigert werden. Soweit die Beschwerdeführerin diese masslichen Feststellungen in appellatorischer Weise kritisiert, übersieht sie einerseits, dass diese für das Bundesgericht verbindlich bleiben. Sie geht irrtümlich davon aus, dass nach Art. 97 Abs. 2 BGG bei Verweigerung von Geldleistungen jede unrichtige oder unvollständige Feststellung des rechtserheblichen Sachverhalts gerügt werden kann. Dies gilt indessen nach dem klaren Wortlaut der genannten Gesetzesbestimmung nur bei Geldleistungen der Militär- und der Unfallversicherung, nicht aber - wie hier streitig - bei solchen der Invalidenversicherung, nachdem die ursprünglich dafür noch vorgesehene Ausnahme im Rahmen der IVG-Revision vom 16. Dezember 2005 aufgehoben wurde (AS 2006 2003). Anderseits geht aus dem Abklärungsbericht Haushalt vom 13. April 1999, auf den die Vorinstanz verweist, hervor, dass die Haushaltsführung im Rahmen der Aufgaben im Haushalt in der Tat nur 2-5 % ausmacht. Inwiefern diese somit auf Selbstangaben der Beschwerdeführerin beruhende Tatsachenfeststellung offensichtlich unrichtig oder bundesrechtswidrig (vgl. E. 1) sein soll, ist nicht nachvollziehbar.</w:t>
      </w:r>
    </w:p>
    <w:p>
      <w:r>
        <w:rPr>
          <w:b/>
        </w:rPr>
        <w:t>E. 3.2</w:t>
      </w:r>
    </w:p>
    <w:p>
      <w:r>
        <w:t>Da der Beschwerdeführerin im Jahre 1995 die Kosten für die Elektrifizierung der Storen in der früheren Mietwohnung ersetzt wurden, hat das kantonale Gericht den Anspruch auch unter dem Titel des Vertrauensschutzes (vgl. dazu BGE 126 II 377 E. 3a S. 387; 122 II 113 E. 3b/cc S. 123, je mit Hinweisen) geprüft, zu Recht aber verneint.</w:t>
      </w:r>
    </w:p>
    <w:p>
      <w:r>
        <w:rPr>
          <w:b/>
        </w:rPr>
        <w:t>E. 3.2.1</w:t>
      </w:r>
    </w:p>
    <w:p>
      <w:r>
        <w:t>Der in Art. 9 BV verankerte Grundsatz von Treu und Glauben verleiht einer Person Anspruch auf Schutz des berechtigten Vertrauens in Zusicherungen oder sonstiges, bestimmte Erwartungen begründendes Verhalten der Behörden. Vorausgesetzt ist weiter, dass die Person, die sich auf den Vertrauensschutz beruft, berechtigterweise auf diese Grundlage vertrauen durfte und gestützt darauf nachteilige Dispositionen getroffen hat, die sie nicht mehr rückgängig machen kann. Die Berufung auf Treu und Glauben scheitert, wenn ihr überwiegende öffentliche Interessen gegenüberstehen ( BGE 131 II 627 E. 6.1 ; 129 I 161 E. 4.1).</w:t>
      </w:r>
    </w:p>
    <w:p>
      <w:r>
        <w:rPr>
          <w:b/>
        </w:rPr>
        <w:t>E. 3.2.2</w:t>
      </w:r>
    </w:p>
    <w:p>
      <w:r>
        <w:t>Ob, wie das kantonale Gericht einzig geprüft hat, die Berufung auf den Vertrauensschutz am Kausalzusammenhang zwischen Vertrauen und Disposition oder am öffentlichen Interesse scheitert, kann offenbleiben, fehlt es doch hier bereits an einem besonderen vertrauensbegründenden Akt der IV-Stelle. Die Beschwerdeführerin macht selber nicht geltend, es seien ihr von der Beschwerdegegnerin vor Inangriffnahme des Eigenheimbaus im Jahre 2000 konkrete Zusicherungen über den Ersatz der Kosten für die Automatisierung der Storen gemacht worden. Sie beruft sich einzig darauf, dass sie beim Umrüsten im Jahre 1995 einen Beitrag zugesprochen erhalten habe. Allein der Umstand, dass die Behörde einer Person in einer bestimmten Situation eine bestimmte Behandlung hat zuteil werden lassen, stellt indessen noch keine Vertrauensgrundlage dar. Wie die blosse Erteilung einer Aufenthaltsbewilligung für sich allein kein schutzwürdiges Vertrauen in die Erneuerung derselben begründet ( BGE 126 II 377 E. 3b S. 388 unter Hinweis auf das unveröffentlichte Urteil 2A.307/1996 vom 25. April 1997, E. 2c/bb), vermag die Kostenvergütung im Jahre 1995 für sich allein ebenso wenig ein schutzwürdiges Vertrauen in die neuerliche Gewährung im Rahmen des Neubauprojektes zu begründen.</w:t>
      </w:r>
    </w:p>
    <w:p>
      <w:r>
        <w:rPr>
          <w:b/>
        </w:rPr>
        <w:t>E. 4</w:t>
      </w:r>
    </w:p>
    <w:p>
      <w:r>
        <w:t>Die Beschwerde ist offensichtlich unbegründet, weshalb sie im vereinfachten Verfahren nach Art. 109 Abs. 2 lit. a BGG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