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245/2014 vom 18. Dezember 2014</w:t>
      </w:r>
    </w:p>
    <w:p>
      <w:r>
        <w:t>Bundesgericht, 2014-12-18, DE</w:t>
      </w:r>
    </w:p>
    <w:p>
      <w:r>
        <w:rPr>
          <w:b/>
        </w:rPr>
        <w:t xml:space="preserve">Quelle: </w:t>
      </w:r>
      <w:r>
        <w:t>https://mcp.opencaselaw.ch/entscheid/bger_9C_245_2014</w:t>
      </w:r>
    </w:p>
    <w:p>
      <w:r>
        <w:t>FR: TF 9C 245/2014 du 18 décembre 2014</w:t>
      </w:r>
    </w:p>
    <w:p>
      <w:r>
        <w:t>IT: TF 9C 245/2014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Der Antrag des Beschwerdeführers auf Edition der Zuger Strafakten (vgl. Sachverhalt lit. A.b) ist neu und unzulässig ( Art. 99 Abs. 1 BGG ; E. 6.2 S. 376 Abs. 1 des angefochtenen Entscheids). Ihr Beizug von Amtes wegen war - und ist auch vor Bundesgericht - nicht angezeigt. Zum einen haben das vorliegende Verfahren und das Strafverfahren, das sich gegen die Beklagten 1, 4 und 13 richtet (a.a.O. E. 6.2 S. 377 Abs. 2), unterschiedliche Ansatzpunkte. Während es hier primär um die Frage nach einer berufsvorsorgerechtlich relevanten Sorgfaltspflichtverletzung im Aufgabenbereich durch Unterlassung geht (vgl. E. 6.2 hinten), steht im Strafverfahren das Erfüllen von strafrechtlich relevanten Tatbeständen mit persönlicher Bereicherungsabsicht im Zentrum. Zum andern ist unbestritten, dass der Beschwerdeführer nicht durch strafrechtlich relevante Handlungen anderer (z.B. Betrug oder Urkundendelikte) daran gehindert wurde, seinen Pflichten nachzukommen (a.a.O. E. 4.7.3.2 S. 192). Dass die (finanzielle) Situation beschönigt wurde, stellt keinen Entlastungsgrund dar (vgl. E. 6.2.3 hinten). Des Beizugs der Strafakten bedarf es auch nicht zur Bestimmung der Schadenshöhe (vgl. E. 5 hinten). Ein Berührungspunkt zwischen den beiden Verfahren, d.h. dem vorliegenden und dem Strafverfahren, findet sich einzig bezüglich der Frage, ob das strafrechtliche Fehlverhalten der Beklagten 1, 4 und 13 geeignet ist, den - hier - haftungsrelevanten Kausalzusammenhang (vgl. E. 8.1 hinten) zu unterbrechen. Zu diesbezüglichen Vorbringen hat nicht erst der vorinstanzliche Entscheid Anlass gegeben. Nachdem ein solcher Unterbruch zu verneinen ist (vgl. E. 8.3 hinten), kann auch aus diesem Grund auf eine Edition verzichtet werden. Damit erweist sich auch das Sistierungsgesuch als unbegründet. Diesem sind ohnehin durch die gebotene Raschheit des Verfahrens ( Art. 73 Abs. 2 BVG ; Art. 29 Abs. 1 BV ) enge Grenzen gesetzt ( BGE 134 IV 43 E. 2.5 S. 47). Anzumerken bleibt, dass verschiedenste Unterlagen aus dem Strafverfahren vorliegend aktenkundig sind.</w:t>
      </w:r>
    </w:p>
    <w:p>
      <w:r>
        <w:rPr>
          <w:b/>
        </w:rPr>
        <w:t>E. 2.2</w:t>
      </w:r>
    </w:p>
    <w:p>
      <w:r>
        <w:t>Nicht anders verhält es sich hinsichtlich des hängigen Schadenersatzverfahrens gegen die Schweizerische Eidgenossenschaft. Weder drängt es sich auf, die entsprechenden Akten zu edieren noch das vorliegende Verfahren zu sistieren. Unabhängig davon, ob der Antrag auf Edition der Akten des Schadenersatzverfahrens gegen die Schweizerische Eidgenossenschaft ebenfalls neu und unzulässig ist ( Art. 99 Abs. 1 BGG ), richten sich die beiden Verfahren, d.h. das vorliegende und das Verantwortlichkeitsverfahren gegen das BSV, gegen verschiedene "Personen" und haben unterschiedliche Haftungsgrundlagen resp. Pflichtverletzungen als Prüfungsobjekt; die Aufgabenbereiche des Stiftungsrats und der Aufsichtsbehörde sind nicht deckungsgleich. Überdies vermöchte auch ein Mitverschulden des BSV den Kausalzusammenhang zwischen dem pflichtwidrigen Verhalten des Beschwerdeführers und des von ihm verursachten Schadens nicht zu unterbrechen (vgl. E. 8.3 hinten).</w:t>
      </w:r>
    </w:p>
    <w:p>
      <w:r>
        <w:rPr>
          <w:b/>
        </w:rPr>
        <w:t>E. 2.3</w:t>
      </w:r>
    </w:p>
    <w:p>
      <w:r>
        <w:t>Der Antrag, es sei ein zweiter Schriftenwechsel (vgl. Art. 102 Abs. 3 BGG ) durchzuführen, ist nicht einmal ansatzweise begründet, weshalb darauf nicht einzutreten ist. Dazu bestünde übrigens auch bei ausreichender Begründung kein Anlass (vgl. Sachverhalt lit. D).</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9).</w:t>
      </w:r>
    </w:p>
    <w:p>
      <w:r>
        <w:rPr>
          <w:b/>
        </w:rPr>
        <w:t>E. 4</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(vorinstanzlicher Entscheid E. 5.4 S. 305).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seien bis zur Höhe von Fr. 30'553'230.39 ausreichend substanziiert und würden vom Beschwerdeführer nicht substanziell bestritten (E. 4.3.4.6 i.f. S. 65 des angefochtenen Entscheids). Ebenso wenig habe der Beschwerdeführer seine Behauptung, dass die Abflüsse rechtmässig erfolgt seien, substanziiert (a.a.O. E. 4.3.5 S. 65). Der Beschwerdeführer widerspricht diesen Feststellungen, die für das Bundesgericht verbindlich sind (vgl. E. 1.1 vorne), nicht. Die "Schadenszusammensetzung" ist daher nicht weiter zu prüfen. Mit dem Vorbringen, während seiner Amtszeit habe es keinen Schaden gegeben, weil auch Vermögen zugeflossen sei, stellt der Beschwerdeführer eine neue tatsächliche Behauptung auf, die unzulässig ist, zumal nicht erst der angefochtene Entscheid zu derselben Anlass gegeben hat ( Art. 99 Abs. 1 BGG ). Auf der anderen Seite legt er auch nicht näher dar, inwieweit die Vorinstanz von einem unzutreffenden Schadensbegriff ausgegangen sein soll (vgl. BGE 139 V 176 E. 11 S. 192). Soweit er einwendet, die Vorinstanz räume selber ein, dass die Höhe des Schadens noch gar nicht feststehe, so trifft es wohl zu, dass das kantonale Gericht erwogen hat, es stehe "keineswegs fest, ob und wieviel der beschlagnahmten Mittel aufgrund des Strafverfahrens dereinst tatsächlich in die Stiftung in Liquidation zurückfliessen werden" (E. 4.3.6.3 S. 86 Abs. 3). Gleichzeitig hat es jedoch ausführlich dargelegt, weshalb es überwiegend wahrscheinlich ist, dass sich der Schadensbetrag nicht mehr verringern wird (a.a.O. E. 4.3.6.3 S. 84-88). Der Beschwerdeführer setzt sich damit nicht hinreichend auseinander. Es genügt den Rügeanforderungen nicht, einzelne Passagen isoliert herauszugreifen, zumal der vorinstanzliche Beweisschluss im Ergebnis mit einem klaren Mangel behaftet sein muss (vgl. E. 1.1.1 vorne). Dass sich der eingeklagte Schaden infolge Freigabe der beschlagnahmten Gelder noch reduzieren könnte, ist vor allem deshalb unwahrscheinlich, weil hier lediglich über einen Teilschaden befunden wird (vgl. Sachverhalt lit. B.a i.f.). Der Fehlbetrag im Zeitpunkt der Aufhebung der Stiftung lag über 33 Mio. Fr. (vgl. Sachverhalt lit. A.b Abs. 2) und hat sich seit dem Liquidationsbeschluss um mindestens weitere 2,6 Mio. Fr. erhöht, wie die Vorinstanz für das Bundesgericht verbindlich festgestellt hat (vgl. E. 1.1 vorne; E. 4.3.6.3 i.f. des vorinstanzlichen Entscheids). Grundsätzlich ebenfalls als Schaden zu berücksichtigen wäre zudem der (ebenfalls eingeklagte) entgangene Gewinn bzw. die entgangene Rendite.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E. 4.4.2 S. 95 ff. des vorinstanzlichen Entscheids). Sodann hat sie für die eigentliche Prüfung, ob eine Pflichtverletzung vorliegt, die Stiftungsräte in drei Gruppen zusammengefasst. Der Beschwerdeführer wurde dabei mit den Beklagten 6, 7 und 8 beurteilt, was nicht zu beanstanden ist, zumal in den Erwägungen zwischen den einzelnen Gruppenmitgliedern klar differenziert wird. Den allgemeinen Ausführungen der Vorinstanz zu den einzelnen Sorgfaltspflichten, auf die vollumfänglich verwiesen werden kann, ist anzufügen, dass die Haftung eines Stiftungsrates keiner Karenzfrist unterliegt. Dieser steht ab dem Tag der effektiven Begründung der Organstellung - hier unbestritten ab 1. Oktober 2005 (a.a.O. E. 4.7.1.3 i.f. S. 171) - in der vollen Pflicht ( BGE 128 V 124 E. 4b S. 128). Dies bedingt, dass er sich ein genügend umfassendes Bild der Einrichtung verschafft, bevor das Mandat übernommen wird. Die wichtigsten Bereiche, wozu u.a. die Organisation und die Anlagen sowie das Risikomanagement gehören, sind vor der Annahme des Stiftungsratsmandats zu prüfen (vgl. MÜLLER/LIPP/PLÜSS, Der Verwaltungsrat, Ein Handbuch für Theorie und Praxis, 4. Aufl. 2014, S. 21 f. Ziff. 1.2.7). Das heisst nicht, dass der Stiftungsrat schon bei Amtsantritt Verdacht schöpfen muss oder Nachforschungen zu betreiben hat, ohne dass ein begründeter Anlass besteht. Indes hat er sich von Anfang an aktiv um das Geschehen zu kümmern. Damit geht nicht eine Vorwirkung der Haftung einher. Deren Beginn, der sich, wie soeben dargelegt, nach der tatsächlichen Mandatsübernahme richtet, bleibt sich gleich. Daran ändert auch nichts, dass die Vorsorgeeinrichtung die Aus- und Weiterbildung der Arbeitnehmer- und Arbeitgebervertreter im obersten paritätischen Organ auf eine Weise zu gewährleisten hat, dass diese ihre Führungsaufgaben wahrnehmen können ( Art. 51 Abs. 6 BVG in der hier massgebenden, bis Ende 2011 gültigen Fassung; ab 1. Januar 2012: Art. 51a Abs. 2 lit. i BVG ). Abgesehen davon, dass das Gesetz nicht gebietet, sich erst nach Amtsantritt (erstmals) ausbilden zu lassen, bestimmt sich die Sorgfaltspflicht nicht nach dem Stand der Fachkenntnisse, sondern nach objektiven Kriterien. Dies ist auch der klare Wille des Gesetzgebers (vgl. dazu den im Nationalrat klar verworfenen Antrag, - zumindest - das Mass der Sorgfalt nach den Fachkenntnissen zu bestimmen [Protokoll der nationalrätlichen Kommission für soziale Sicherheit und Gesundheit vom 21./22. Februar 2002 S. 37 unten; AB 2002 N 551 f.]). Eine andere Frage ist, ob die Mandatsdauer ein rechtzeitiges Handeln zugelassen hätte (vgl. dazu E. 6.2.3 Abs. 2 hinten).</w:t>
      </w:r>
    </w:p>
    <w:p>
      <w:r>
        <w:rPr>
          <w:b/>
        </w:rPr>
        <w:t>E. 6.2</w:t>
      </w:r>
    </w:p>
    <w:p>
      <w:r>
        <w:t>Die Beklagten 5-8 sind erst in einem späteren Zeitpunkt dem Stiftungsrat beigetreten und sehen sich allesamt dem Vorwurf ausgesetzt, sich nach dem Eintritt zu passiv verhalten zu haben, womit sie eine Vergrösserung des Schadens billigend in Kauf genommen hätten (E. 4.4.1 i.f. S. 94 des angefochtenen Entscheids). Dass der Beschwerdegegner kaum auf das individuelle Verhalten der vier Beklagten eingegangen ist, heisst nicht, dass er seiner Substanziierungspflicht nicht nachgekommen ist, wie der Beschwerdeführer meint. Es können sich durchaus mehrerer Stiftungsräte gleich passiv verhalten haben.</w:t>
      </w:r>
    </w:p>
    <w:p>
      <w:r>
        <w:rPr>
          <w:b/>
        </w:rPr>
        <w:t>E. 6.2.1</w:t>
      </w:r>
    </w:p>
    <w:p>
      <w:r>
        <w:t>Für die Geschäftsorganisation der Stiftung war der Umstand charakteristisch, dass zahlreiche Aufgaben an Dritte delegiert wurden (a.a.O. E. 3.4 S. 33 ff.)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hinaus eingeräumten Rechte keine weiteren Rechte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in Basel vordefiniert wurde. Am 16. Juni 2005 verlegte die U.________ AG ihren Sitz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w:t>
      </w:r>
    </w:p>
    <w:p>
      <w:r>
        <w:rPr>
          <w:b/>
        </w:rPr>
        <w:t>E. 6.2.2</w:t>
      </w:r>
    </w:p>
    <w:p>
      <w:r>
        <w:t>Der Beschwerdeführer war in der hier fraglichen Zeit Leiter Finanzen und Personal der X.________ AG (E. 4.7.1.6 S. 177 des vorinstanzlichen Entscheids), und übte sein Stiftungsratsmandat unentgeltlich als Vertreter der Arbeitnehmerschaft aus. Bis April 2003 war er Prokurist der R.________ AG. Als Protokollführer der Projektgruppe "Y.________ AG", die das Geschäftsmodell der Vorsorgeeinrichtung N.________ entwickelte und bis zur Gründung der Q.________ AG am 24. März 2003 und derjenigen der Stiftung am 9. Mai 2003 umsetzte, konnte er bei Amtsantritt unmittelbar an die Erkenntnisse anknüpfen, die er im Rahmen der Projektorganisation gewonnen hatte. Der Beschwerdeführer wusste somit oder hätte wissen müssen, dass es sich bei der Stiftung um eine relativ komplexe Organisation mit einigen Besonderheiten, wie das "Outsourcing-Konzept", handelte (a.a.O. E. 4.7.1.1 S. 178 f.). Im Besonderen wusste er um das Haftungsrisiko, vor allem war ihm bewusst, dass er noch nicht versichert war. Ebenso wusste er, dass er im obersten Führungsorgan der Stiftung Einsitz nahm und dort verantwortlich dafür war, dass die gesetzlichen und reglementarischen Vorschriften eingehalten werden. Ihm war auch bekannt, dass der Stiftungsrat die Verantwortung für die Anlage der Stiftungsmittel trug und dass die Stiftung die Anlagetätigkeit an einen Dritten delegiert hatte. Schliesslich hatte er auch zur Kenntnis genommen, dass die Sparkapitalien in irgendeiner Form abgesichert wurden und dass die Stiftung zu diesem Zweck mit der V.________ AG zusammenarbeitete (a.a.O. E. 4.7.1.4 S. 173).</w:t>
      </w:r>
    </w:p>
    <w:p>
      <w:r>
        <w:rPr>
          <w:b/>
        </w:rPr>
        <w:t>E. 6.2.3</w:t>
      </w:r>
    </w:p>
    <w:p>
      <w:r>
        <w:t>Diese - von der Vorinstanz festgestellte und für das Bundesgericht verbindliche (vgl. E. 1.1 vorne) - Sachlage (vgl. E. 6.2.1 und E. 6.2.2 vorne) hätte den Beschwerdeführer bei der Mandatsübernahme umso aufmerksamer resp. bewusster machen sollen, dass bei der Vermögensverwaltung eine besondere Sorgfalt und Kontrolle geboten war. Aber auch als durchschnittlich sorgfältig agierender Stiftungsrat hätte er vordringlich die - konkrete - Anlagestrategie und das Risikoprofil der Stiftung sowie die genauen Verhältnisse rund um die externalisierte Vermögensverwaltung erfragen müssen. Das bei den Akten liegende Anlagereglement, Version vom 7. April 2003, weist nämlich kein Genehmigungsdatum auf. Den Stiftungsratsprotokollen lässt sich nichts Gegenteiliges entnehmen. Der Beschwerdeführer kann sich nicht mit dem Vorbringen begnügen, er sei arglistig in Sicherheit gewiegt worden und Opfer eines äussert raffinierten Betruges gewesen. Vordergründig wurde (n) wohl ein positiver Eindruck, vor allem positive Zahlen, vermittelt (z.B. provisorischer Jahresabschluss 2003/2004 mit einem Gewinn, Deckungsgrad per Ende 2004 von 101,1 % bzw. per Ende 2005 von 105,5 %). Der Stiftungsrat kann sich jedoch nicht allein am Ergebnis orientieren, weshalb auf darauf abzielende Beweiserhebungen von vornherein verzichtet werden kann. Insbesondere reicht der Deckungsgrad als Momentaufnahme nicht aus, um die finanzielle Lage einer Vorsorgeeinrichtung zu beurteilen. Der Stiftungsrat trägt die Verantwortung für ein gesetzlich und reglementarisch korrektes Handeln (Stiftungsstatut vom 1. Mai 2003 S. 3 oben Ziff. 6), weshalb er sich (auch) um die Gegebenheiten hinter den Zahlen kümmern muss. Dazu gehört die - dem Stiftungsrat als Ganzes zugewiesene (Stiftungsstatut vom 1. Mai 2003 S. 2 f. Punkt 6) - Anlagestrategie, die nicht an einen Dritten übertragbar ist, andernfalls der Grundsatz der Parität und die damit gewährten Mitentscheidungsrechte der Arbeitnehmenden illusorisch gemacht werden ( Art. 51 Abs. 1 BVG , in Kraft seit 1. April 2004; Art. 49a Abs. 1 BVV 2 in der bis Ende 2008 gültigen Fassung; GÄCHTER/GECKELER HUNZIKER, in: Handkommentar zum BVG und FZG, Schneider/Geiser/Gächter [Hrsg.], 2010, N. 55 f. zu Art. 51 BVG ; seit 1. Januar 2012: Art. 51a Abs. 2 lit. m BVG ). Entscheid und Verantwortung, welche eine hinreichende Kontrolltätigkeit betreffend die Durchführung des Anlageprozesses umfasst, verharren diesbezüglich und verharrten auch in concreto (Stiftungsstatut vom 1. Mai 2003 S. 2-5 Punkte 5-7) ungeteilt beim Stiftungsrat. Dass "das BSV bis kurz vor seinem Eintritt monatliche Rapporte gefordert hat", ändert daran nichts. Gemäss verbindlicher Feststellung der Vorinstanz (vgl. E. 1.1 vorne) hat der Beschwerdeführer insbesondere die mit der Vermögensverwaltung betraute U.________ AG zu keinem Zeitpunkt überwacht. Er hat auch bei den anderen Stiftungsratskollegen keine Dokumente angefordert, aus denen hervorgegangen wäre, dass andere Stiftungsräte die Tätigkeit der Vermögensverwaltungsgesellschaft in regelmässigen Abständen kontrollieren. Ausserdem hat die Vorinstanz - ebenfalls verbindlich (vgl. E. 1.1 vorne) - festgestellt, dass der Beschwerdeführer niemals der Frage nachgegangen ist, ob die Stiftung dem Vermögensverwalter überhaupt eine Anlagestrategie vorgegeben hatte, wie er auch nie den Bestand der Bankgarantie hinterfragt, vor allem nie kontrolliert hat, ob es die Garantie auch wirklich gab. Weder wollte er den Garantievertrag einsehen noch hat er sich nach Details zu diesem Vertrag erkundigt, etwa nach der Vertragsdauer, den Vertragskonditionen oder dem Zusammenhang zwischen dem extern vergebenen Vermögensverwaltungsauftrag und der Bankgarantie (E. 4.7.1.5 S. 173 f. des vorinstanzlichen Entscheids). Dem Beschwerdeführer war demnach weder das Risikoprofil der Stiftung bekannt noch wie die Stiftungsmittel angelegt waren. Ebenso wenig wusste er zu keinem Zeitpunkt, ob Anlageziele und -grundsätze eingehalten waren resp. ob und inwieweit Ist und Soll übereinstimmten, d.h. der externe Vermögensverwalter die Anlagestrategie und Anlagevorschriften befolgte und dem Risikoprofil Rechnung getragen wurde. Damit liegt die Verletzung einer elementaren Sorgfaltspflicht vor, die seit Amtsantritt des rund 10-monatigen Mandats aktuell war (vgl. E. 6.1 vorne) und deren Wahrnehmung kein Zuwarten erlaubte. Die Unentgeltlichkeit des Stiftungsratsmandats führt entgegen der Ansicht des Beschwerdeführers nicht dazu, dass diese Pflicht weniger zu achten gewesen wäre (SVR 2010 AHV Nr. 14 S. 52, 9C_145/2010 E. 5.3). BGE 115 II 64 E. 3a lässt sich nichts Gegenteiliges entnehmen. Daraus ergibt sich lediglich, dass höhere Anforderungen an denjenigen zu stellen sind, der seine Tätigkeit berufsmässig, gegen Entgelt ausübt. Vom Beschwerdeführer wird jedoch nicht mehr verlangt als die Sorgfalt, die ein gewissenhafter Mandatsträger in der gleichen Lage bei der Besorgung der ihm übertragenen Aufgaben anzuwenden pflegt. Ein promptes Handeln drängte sich umso mehr auf, als sich die Organisation der Stiftung auf keine reglementarische Grundlage resp. ordentliche Beschlussfassung mit klar umschriebenen Kompetenzen abstützen liess, sondern Folge gelebter Verhältnisse war, die nicht weiter definiert waren, wie die Vorinstanz für das Bundesgericht verbindlich festgestellt hat (E. 3.7.3 S. 42 des angefochtenen Entscheids); gleichermassen steht fest, dass sich der Beschwerdeführer nie nach dem Vorhandensein eines Organisationsreglements erkundigt bzw. dessen Fehlen angemahnt hat (a.a.O. E. 4.7.1.5 S. 174; vgl. E. 1.1 vorne). Weiterer Beweisabnahmen betreffend das Verhalten des Beschwerdeführers bedarf es nicht. Weder erläutert er diesbezüglich das genaue Beweisthema noch legt er dar, inwieweit sich den eingereichten Akten Gegenteiliges zu den Feststellungen, die das kantonale Gericht getroffen hat, entnehmen lässt. Der integrale Verweis auf vorinstanzlich Gesagtes bzw. Aufgelegtes genügt der Begründungspflicht von Art. 42 Abs. 2 Satz 1 BGG nicht (vgl. E. 1 vorne), was auch im Zusammenhang mit der Unterbrechung der Kausalität (vgl. dazu E. 8 hinten) gilt.</w:t>
      </w:r>
    </w:p>
    <w:p>
      <w:r>
        <w:rPr>
          <w:b/>
        </w:rPr>
        <w:t>E. 7</w:t>
      </w:r>
    </w:p>
    <w:p>
      <w:r>
        <w:t>Vor dem Hintergrund des in E. 6 Gesagten stellt die Passivität des Beschwerdeführers ein grobfahrlässiges und schuldhaftes Verhalten dar; die Berücksichtigung persönlicher Umstände ist nicht gerechtfertigt. Allein sein Versäumnis auf der Kontrollebene (vgl. E. 6.2.3) ist als besonders gravierend anzusehen. Die entsprechende Unterlassung - der Beschwerdeführer hat keine Dokumente angefordert, aus denen hervorgegangen wäre, dass die Tätigkeit der Vermögensverwaltungsgesellschaften in regelmässigen Abständen auf die Anlageziele und -grundsätze kontrolliert wird - hat Raum für ein freies Agieren und einen fortgesetzten Abfluss der Stiftungsmittel geschaffen. Die weiteren Pflichtverletzungen (E. 6.2.3 vorne) zementieren dieses Bild. Dass der Stiftungsrat während seiner Amtszeit keinerlei Anlage-Entscheide gefällt hat, vermag nicht zu einem anderen Ergebnis zu führen. Die dem Stiftungsrat obliegende Überwachungspflicht bezieht sich nicht einfach auf Neuanlagen. Vielmehr ist er für die Überprüfung der - während seiner Amtszeit - jeweils aktuellen resp. laufenden Vermögensverwaltung verantwortlich. Indem die Vorinstanz die Voraussetzung des Verschuldens für mehrere Beklagte zusammen abgehandelt hat, hat sie ihre Begründungspflicht resp. das rechtliche Gehör nicht verletzt. Einerseits hat sie sehr wohl Differenzierungen vorgenommen (E. 4.7.2 S. 189 f. des vorinstanzlichen Entscheids). Anderseits ist eine solche nicht erforderlich, soweit sich - wie vorliegend (vgl. Urteile 9C_246/2014, 9C_263/2014 und 9C_267/2014) - mehrere Stiftungsräte gleich passiv verhalten haben.</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Es kann offen bleiben, ob und inwieweit sich die Vorinstanz zur Begründung des (hypothetischen und gleichzeitig adäquaten) Kausalzusammenhangs auf die allgemeine Lebenserfahrung gestützt hat (4.7.3 S. 191 des kantonalen Entscheids). So oder anders resultiert - auch bei einer freien Prüfung - keine andere Schlussfolgerung. Der Beschwerdeführer wurde nicht durch strafrechtlich relevante Handlungen anderer (z.B. Betrug oder Urkundendelikte) daran gehindert, seiner Kontrollpflicht nachzukommen (vgl. E. 2.2 vorne). Die Wahrnehmung der in E. 6.2.3 vorne aufgezeigten Sorgfaltspflicht - Vergewisserung, dass die Anlageziele und -grundsätze bei der Umsetzung eingehalten werden - setzt belegte Kenntnisse über den Soll-Zustand (als Massstab und Ausgang der Kontrolle) voraus. Die Überwachung der Vermögensanlage resp. Vermögensbewirtschaftung hat seit jeher "nachvollziehbar" zu erfolgen (vgl. Art. 49a Abs. 1 BVV 2 in den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[zwei Mal S.________ Ltd. und U.________ AG plus L.________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Von Anfang an demonstrierte Aufmerksamkeit und beharrliches Pochen auf Reglements- und Gesetzesmässigkeit hätten den bestehenden Freiraum (vgl. E. 7 vorne) prompt geschlossen. Im äussersten Fall hätte der Beschwerdeführer die Stiftung bei der Aufsichtsbehörde verzeigt, die unverzüglich eingeschritten wäre (vgl. SZS 2012 S. 374, 9C_823/2011 E. 2.2). Denn es standen offensichtlich, anders als in anderer (fallbezogener) Angelegenheit, in der die Aufsichtsbehörde scheinbar eine abwartende Haltung eingenommen hatte, die vitalen Interessen der Stiftung auf dem Spiel.</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Soweit der Beschwerdeführer vorbringt, die Mittelabflüsse seien arglistig und betrügerisch mit Hilfe eines Lügengebäudes erfolgt, welche Machenschaften er nicht habe durchschauen können, übersieht er einerseits, dass der Tatbestand des Betrugs nicht Gegenstand der Strafverfolgung bildet (vgl. Sachverhalt lit. A.b). Anderseits kann hinsichtlich des hier fraglichen Aufgabenbereichs (vgl. E. 6.2.3 vorne) eine Irreführung durch deliktisches Handeln ausgeschlossen werden (vgl. E. 2.2 und 8.2 vorne). Zudem erweist sich die Sorgfaltspflichtverletzung, die der Beschwerdeführer begangen hat und ausschliesslich in seinem Verantwortungsbereich anzusiedeln ist, als derart grundlegend (vgl. E. 6.2.3 und E. 8.2 vorne), dass sie selbst bei - ebenfalls (vgl. E. 7 vorne) - grobem pflichtwidrigem Verhalten weiterer Protagonisten nicht komplett in den Hintergrund gedrängt resp. zur absoluten Bedeutungslosigkeit degradiert wird. Beweiserhebungen zum Verhalten der - gemäss Beschwerdeführer - "Betrüger" oder des BSV helfen demnach nicht weiter.</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 geht (vgl. E. 2.2.1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 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kein Herabsetzungsgrund nach Art. 43 Abs. 1 OR und dem hier in Frage kommenden Art. 44 Abs. 2 OR besteht (E. 4.7.4.2 S. 202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7 vorne - nicht die Rede sein.</w:t>
      </w:r>
    </w:p>
    <w:p>
      <w:r>
        <w:rPr>
          <w:b/>
        </w:rPr>
        <w:t>E. 9.3</w:t>
      </w:r>
    </w:p>
    <w:p>
      <w:r>
        <w:t>Von der Haftung gegenüber dem Geschädigten ist die definitive Schadenstragung im Innenverhältnis zu unterscheiden. Der Beschwerdeführer moniert, dass sich die Vorinstanz mit keinem Wort dazu geäussert hat. Dem ist entgegenzuhalten, dass sie von keiner Seite zum Gegenstand des Hauptprozesses gemacht wurde. Der Beschwerdeführer macht jedenfalls nichts Gegenteiliges geltend. Es kann daher offen bleiben, ob und inwieweit die Beklagten hier eine Entscheidung hinsichtlich der Rückgriffsansprüche überhaupt schon im Hauptprozess verlangen können.</w:t>
      </w:r>
    </w:p>
    <w:p>
      <w:r>
        <w:rPr>
          <w:b/>
        </w:rPr>
        <w:t>E. 9.4</w:t>
      </w:r>
    </w:p>
    <w:p>
      <w:r>
        <w:t>Die Vorinstanz beziffert den Schaden, für den der Beschwerdeführer in zeitlicher Hinsicht verantwortlich zeichnet, auf Fr. 4'600'000.- (E. 4.7.5 S. 204 Abs. 2 des angefochtenen Entscheids). Diese Summe ist rechnerisch unbestritten. Zwar ging das kantonale Gericht - entgegen E. 6.1 vorne - von einer Anrechenbarkeit erst ab 10. Dezember 2005 aus. Das Bundesgericht hat sich jedoch an die Begehren der Parteien zu halten ( Art. 107 Abs. 1 BGG ).</w:t>
      </w:r>
    </w:p>
    <w:p>
      <w:r>
        <w:rPr>
          <w:b/>
        </w:rPr>
        <w:t>E. 10</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11</w:t>
      </w:r>
    </w:p>
    <w:p>
      <w:r>
        <w:t>Da die Gewährung der unentgeltlichen Rechtspflege nicht rückwirkend erfolgt ( BGE 122 I 203 ; THOMAS GEISER, in: Basler Kommentar, Bundesgerichtsgesetz, 2. Aufl. 2011, N. 24 zu Art. 64 BGG ), entfällt die Übername der Anwaltskosten für die Beschwerdeschrift von vornherein; wesentlich weitergehende Aufwendungen sind nicht angefallen. Das Gesuch um Erlass der Gerichtskosten ist - mit Blick auf die (geringe) Höhe derselben sowie die Einkommensverhältnisse des Beschwerdeführers (Einkommen von monatlich ca. Fr. 10'000.-) - mangels Bedürftigkeit abzuweisen. 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