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244/2010 vom 5. August 2010</w:t>
      </w:r>
    </w:p>
    <w:p>
      <w:r>
        <w:t>Bundesgericht, 2010-08-05, DE</w:t>
      </w:r>
    </w:p>
    <w:p>
      <w:r>
        <w:rPr>
          <w:b/>
        </w:rPr>
        <w:t xml:space="preserve">Quelle: </w:t>
      </w:r>
      <w:r>
        <w:t>https://mcp.opencaselaw.ch/entscheid/bger_9C_244_2010</w:t>
      </w:r>
    </w:p>
    <w:p>
      <w:r>
        <w:t>FR: TF 9C 244/2010 du 5 août 2010</w:t>
      </w:r>
    </w:p>
    <w:p>
      <w:r>
        <w:t>IT: TF 9C 244/2010 del 5 agosto 2010</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w:t>
      </w:r>
    </w:p>
    <w:p>
      <w:r>
        <w:rPr>
          <w:b/>
        </w:rPr>
        <w:t>E. 2</w:t>
      </w:r>
    </w:p>
    <w:p>
      <w:r>
        <w:t>Die Beschwerdeführerin beantragt die Durchführung eines zweiten Schriftenwechsels ( Art. 102 Abs. 3 BGG ), welches Begehren sie mit dem Recht auf Replik begründet. Indessen haben weder die Verwaltung noch das vorinstanzliche Gericht eine Stellungnahme eingereicht. Dem Verfahrensantrag ist schon deswegen nicht zu entsprechen.</w:t>
      </w:r>
    </w:p>
    <w:p>
      <w:r>
        <w:rPr>
          <w:b/>
        </w:rPr>
        <w:t>E. 3.1</w:t>
      </w:r>
    </w:p>
    <w:p>
      <w:r>
        <w:t>Unter Umschulung im Sinne von Art. 17 IVG ist rechtsprechungsgemäss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 BGE 130 V 488 E. 4.2 S. 489 f. mit Hinweisen; 124 V 108 E. 2a S. 109; Urteile I 210/05 vom 10. November 2005 E. 3.3.1 und I 73/04 vom 30. September 2004 E. 2.2). Das Erfordernis der Gleichwertigkeit als Ausdruck der Verhältnismässigkeit begrenzt den Umschulungsanspruch "nach oben". Hingegen steht dieser Gesichtspunkt Umschulungen nicht entgegen, die den Versicherten zu einem bescheideneren beruflichen Ziel führen, was in vielen Fällen - invaliditätsbedingt - zutreffen dürfte. Erforderlich ist einzig, dass sich der erwartete Teilerfolg noch als genügend eingliederungswirksam bezeichnen lässt, was wiederum unter dem Gesichtspunkt des Verhältnismässigkeitsgrundsatzes von Bedeutung ist. Massgebend ist demnach, dass die beabsichtigte Umschulung in einen minderbezahlten Beruf zu einer dauerhaften und wesentlichen Verbesserung der Erwerbsfähigkeit führt, wie es Art. 17 Abs. 1 IVG ausdrücklich verlangt ( BGE 122 V 77 E. 3b/bb S. 79).</w:t>
      </w:r>
    </w:p>
    <w:p>
      <w:r>
        <w:rPr>
          <w:b/>
        </w:rPr>
        <w:t>E. 3.2</w:t>
      </w:r>
    </w:p>
    <w:p>
      <w:r>
        <w:t>Die Verhältnismässigkeit der Eingliederungsmassnahmen ist im Weiteren nicht mehr erfüllt, wenn ein krasses Missverhältnis zwischen den Kosten und dem voraussichtlichen Nutzen der Vorkehr besteht (ULRICH MEYER, Rechtsprechung des Bundesgerichts zum IVG, 2010, S. 102; vgl. BGE 115 V 191 E. 4e/cc S. 198). Dabei umfassen die Kosten einer Umschulung neben den Kurskosten auch die Taggeldleistungen (vgl. zu deren akzessorischem Charakter BGE 123 V 20 E. 3a S. 22 und AHI 2002 S. 110 E. 3a). Für den Nutzen einer Eingliederungsmassnahme ist bei einem mit dem Bildungsstand vergleichbar hohen oder sogar höheren angestrebten Ausbildungsniveau und bei annähernder Gleichwertigkeit der Erwerbsmöglichkeiten vor und nach deren Durchführung neben der Erhaltung der Erwerbsfähigkeit in erster Linie die gesamte noch zu erwartende Arbeitsdauer nach Art. 8 Abs. 1bis IVG von Bedeutung. Darunter ist die verbleibende Zeitspanne bis zum ordentlichen Pensionierungsalter gemäss Art. 21 Abs. 1 AHVG zu verstehen (Urteil I 761/05 vom 15. Februar 2006 E. 3.4).</w:t>
      </w:r>
    </w:p>
    <w:p>
      <w:r>
        <w:rPr>
          <w:b/>
        </w:rPr>
        <w:t>E. 4</w:t>
      </w:r>
    </w:p>
    <w:p>
      <w:r>
        <w:t>Offenbleiben kann, ob es sich bei der Umschulung zum Bachelor in klinischer Psychologie um eine den Anforderungen von Art. 17 IVG entsprechende Eingliederungsmassnahme gehandelt hat. Selbst wenn die Beschwerdeführerin mit diesem Abschluss keine Berufschancen haben sollte - wie sie behauptet - und die Erwerbsfähigkeit durch die Umschulung weder erhalten noch verbessert werden konnte ( Art. 17 Abs. 1 IVG ), gäbe ihr dies keinen zwangsläufigen Anspruch auf eine Umschulung zum Master. Die Kostenübernahme für den Bachelor-Studiengang präjudiziert jene des Masters nicht. Der Bachelor ist zwar Voraussetzung für die Zulassung zu den Master-Studiengängen (Art. 3 Abs. 1 Richtlinien der Schweizerischen Universitätskonferenz für die koordinierte Erneuerung der Lehre an den universitären Hochschulen der Schweiz im Rahmen des Bologna-Prozesses [Bologna-Richtlinien; SR 414.205.1]), hingegen bilden anders als im einstufigen Lizentiatsstudium der Bachelor und der Master jeweils eine Ausbildungsstufe (Art. 1 Abs. 2 Bologna-Richtlinien). Es ist demzufolge unabhängig von der genehmigten und bereits abgeschlossenen Umschulung zum Bachelor der Anspruch auf das Masterstudium zu prüfen.</w:t>
      </w:r>
    </w:p>
    <w:p>
      <w:r>
        <w:rPr>
          <w:b/>
        </w:rPr>
        <w:t>E. 5.1</w:t>
      </w:r>
    </w:p>
    <w:p>
      <w:r>
        <w:t>Die Beschwerdeführerin trägt gestützt auf Angaben des Schweizerischen Berufsverbandes für Angewandte Psychologie vor, als klinische Psychologin mit dem Masterabschluss ein Einkommen von maximal Fr. 54'000.- erzielen zu können, wogegen sie als Lehrerin einen Lohn zwischen Fr. 79'576.- und Fr. 127'349.- erhielte. Aus den Lohnunterschieden kann die Versicherte indessen nichts für ihren Standpunkt herleiten; denn der mit dem Abschluss des Masters in klinischer Psychologie zu erwartende Lohn läge nach ihrer Darstellungsweise etwa um 30 % tiefer als das Einkommen im angestammten Beruf. Unter diesem Aspekt sind die zu vergleichenden Ausbildungen nicht gleichwertig. Es kommt dazu, dass ein Hochschulabschluss in klinischer Psychologie auf der Stufe des Masters deutlich über dem Ausbildungsniveau der Primarlehrerin steht: Zutreffend geht die Beschwerdeführerin davon aus, das Lehrerpatent entspreche der Maturität. Der Abschluss zur Primarlehrerin (Diplomierung im Jahr 1996) ermächtigt sie zwar zum Besuch der Hochschule und ist als solches Voraussetzung für den Bachelor-Abschluss. Hingegen öffnet erst dieser den Weg zur Masterausbildung (Art. 3 Abs. 1 Bologna-Richtlinien). Folglich übertrifft schon der Bachelor das Niveau der ursprünglichen Ausbildung; umso mehr der Master. Auch insofern ist die Gleichwertigkeit zwischen dem ins Auge gefassten Masterabschluss in klinischer Psychologie und der Primarlehrerinnen-Ausbildung nicht gegeben. Ferner kann mit Blick auf das Ausbildungsniveau trotz des nach der Umschulung erwarteten tieferen Lohnes nicht von einem bescheideneren beruflichen Ziel gesprochen werden, welches einem Anspruch grundsätzlich nicht entgegenstünde (vgl. E. 2.1 hievor).</w:t>
      </w:r>
    </w:p>
    <w:p>
      <w:r>
        <w:rPr>
          <w:b/>
        </w:rPr>
        <w:t>E. 5.2</w:t>
      </w:r>
    </w:p>
    <w:p>
      <w:r>
        <w:t>Zu berücksichtigen ist sodann das Missverhältnis zwischen den Kosten und der vergleichsweise geringen Eingliederungswirksamkeit der Masterausbildung. Denn die Leistungen der Invalidenversicherung beinhalten neben den Schul- und Materialkosten (E. 2.2 hievor) auch ein Taggeld, welches während der Bachelor-Ausbildung von 2005 bis 2009 zwischen Fr. 218.80 und Fr. 263.- betragen hat. Die zusätzlichen Kosten der Ausbildung zum Master sind erheblich. Im Lichte des Dargelegten verstösst der angefochtene Entscheid nicht gegen Bundesrecht und die Beschwerde ist unbegründet.</w:t>
      </w:r>
    </w:p>
    <w:p>
      <w:r>
        <w:rPr>
          <w:b/>
        </w:rPr>
        <w:t>E. 6</w:t>
      </w:r>
    </w:p>
    <w:p>
      <w:r>
        <w:t>Die Beschwerdeführerin wird als unterliegende Partei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