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243/2022 vom 24. Mai 2022</w:t>
      </w:r>
    </w:p>
    <w:p>
      <w:r>
        <w:t>Bundesgericht, 2022-05-24, DE</w:t>
      </w:r>
    </w:p>
    <w:p>
      <w:r>
        <w:rPr>
          <w:b/>
        </w:rPr>
        <w:t xml:space="preserve">Quelle: </w:t>
      </w:r>
      <w:r>
        <w:t>https://mcp.opencaselaw.ch/entscheid/bger_9C_243_2022</w:t>
      </w:r>
    </w:p>
    <w:p>
      <w:r>
        <w:t>FR: TF 9C 243/2022 du 24 mai 2022</w:t>
      </w:r>
    </w:p>
    <w:p>
      <w:r>
        <w:t>IT: TF 9C 243/2022 del 24 maggio 2022</w:t>
      </w:r>
    </w:p>
    <w:p>
      <w:pPr>
        <w:pStyle w:val="Heading2"/>
      </w:pPr>
      <w:r>
        <w:t>Regeste</w:t>
      </w:r>
    </w:p>
    <w:p>
      <w:r>
        <w:t>Krankenversicherung | Krankenversicherung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Insbesondere hinsichtlich der Verletzung von Grundrechten gilt eine qualifizierte Rügepflicht (vgl. BGE 144 V 50 E. 4.2; 137 V 57 E. 1.3 und 136 I 65 E. 1.3.1).</w:t>
      </w:r>
    </w:p>
    <w:p>
      <w:r>
        <w:rPr>
          <w:b/>
        </w:rPr>
        <w:t>E. 2.1</w:t>
      </w:r>
    </w:p>
    <w:p>
      <w:r>
        <w:t>Das kantonale Gericht hat die Abweisung der Beschwerde unter Bezugnahme auf die Vorbringen des Beschwerdeführers begründet.</w:t>
      </w:r>
    </w:p>
    <w:p>
      <w:r>
        <w:rPr>
          <w:b/>
        </w:rPr>
        <w:t>E. 2.2</w:t>
      </w:r>
    </w:p>
    <w:p>
      <w:r>
        <w:t>Letzterer beschränkt sich in seiner Beschwerdeschrift vom 9. Mai 2022 (Poststempel) - soweit überhaupt sachdienlich - im Wesentlichen auf die Darlegung seiner eigenen Sichtweise. Er beschäftigt sich nicht mit den für das Ergebnis des angefochtenen Entscheids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 Nachdem eine solche Auseinandersetzung jedoch auch von Laien erwartet wird, vermag die Eingabe - vor allem hinsichtlich der gerügten Grundrechtsverletzungen - den Mindestanforderungen an die Beschwerdebegründung nicht zu genügen. Daran ändern auch die der Beschwerdeschrift beigelegten Eingaben - sofern nicht ohnehin unzulässige Noven ( Art. 99 Abs. 1 BGG ) - nichts.</w:t>
      </w:r>
    </w:p>
    <w:p>
      <w:r>
        <w:rPr>
          <w:b/>
        </w:rPr>
        <w:t>E. 3</w:t>
      </w:r>
    </w:p>
    <w:p>
      <w:r>
        <w:t>Auf das Rechtsmittel ist im vereinfachten Verfahren nach Art. 108 Abs. 1 lit. b BGG nicht einzutreten.</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