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9C_243/2019 vom 17. April 2019</w:t>
      </w:r>
    </w:p>
    <w:p>
      <w:r>
        <w:t>Bundesgericht, 2019-04-17, DE</w:t>
      </w:r>
    </w:p>
    <w:p>
      <w:r>
        <w:rPr>
          <w:b/>
        </w:rPr>
        <w:t xml:space="preserve">Quelle: </w:t>
      </w:r>
      <w:r>
        <w:t>https://mcp.opencaselaw.ch/entscheid/bger_9C_243_2019</w:t>
      </w:r>
    </w:p>
    <w:p>
      <w:r>
        <w:t>FR: TF 9C_243/2019 du 17 avril 2019</w:t>
      </w:r>
    </w:p>
    <w:p>
      <w:r>
        <w:t>IT: TF 9C_243/2019 del 17 aprile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9C_243/2019</w:t>
      </w:r>
    </w:p>
    <w:p>
      <w:r>
        <w:t>Urteil vom 17. April 2019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Gerichtsschreiberin N. Möckli.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Schweizerische Ausgleichskasse SAK, Avenue Edmond-Vaucher 18, 1203 Genf,</w:t>
      </w:r>
    </w:p>
    <w:p>
      <w:r>
        <w:t>Beschwerdegegnerin.</w:t>
      </w:r>
    </w:p>
    <w:p>
      <w:r>
        <w:t>Gegenstand</w:t>
      </w:r>
    </w:p>
    <w:p>
      <w:r>
        <w:t>Alters- und Hinterlassenenversicherung (Prozessvoraussetzung),</w:t>
      </w:r>
    </w:p>
    <w:p>
      <w:r>
        <w:t>Beschwerde gegen den Entscheid</w:t>
      </w:r>
    </w:p>
    <w:p>
      <w:r>
        <w:t>des Bundesverwaltungsgerichts</w:t>
      </w:r>
    </w:p>
    <w:p>
      <w:r>
        <w:t>vom 26. Februar 2019 (C-990/2017).</w:t>
      </w:r>
    </w:p>
    <w:p>
      <w:r>
        <w:t>Nach Einsicht</w:t>
      </w:r>
    </w:p>
    <w:p>
      <w:r>
        <w:t>in die Beschwerde vom 2. April 2019 (Ankunft an der Grenzstelle) gegen den Entscheid des Bundesverwaltungsgerichts, Abteilung III, vom 26. Februar 2019,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der Beschwerdeführer zwar eine unrichtige Sachverhaltsfeststellung rügt, eine solche jedoch nicht ersichtlich ist, zumal die vom Beschwerdeführer geltend gemachten Umstände (keine erneute Heirat des Beschwerdeführers; Behinderung des am 11. September 2016 volljährig gewordenen Sohns) nach den Erwägungen der Vorinstanz nichts am Erlöschen des Anspruchs auf eine Witwerrente ändern,</w:t>
      </w:r>
    </w:p>
    <w:p>
      <w:r>
        <w:t>dass der Beschwerdeführer im Übrigen nicht aufzeigt, inwiefern das Bundesverwaltungsgericht die gesetzlichen Bestimmungen (Art. 23 f. AHVG) unrichtig angewendet hat und dies auch nicht erkennbar ist,</w:t>
      </w:r>
    </w:p>
    <w:p>
      <w:r>
        <w:t>dass die Beschwerde somit den inhaltlichen Mindestanforderungen nicht genügt, da den Ausführungen nicht entnommen werden kann, inwiefern die Sachverhaltsfeststellung im Sinne von Art. 97 Abs. 1 BGG unzutreffend und die darauf beruhenden Erwägungen rechtsfehlerhaft sein sollen,</w:t>
      </w:r>
    </w:p>
    <w:p>
      <w:r>
        <w:t>dass deshalb im vereinfachten Verfahren nach Art. 108 Abs. 1 lit. b BGG auf die Beschwerde nicht einzutreten ist und in Anwendung von Art. 66 Abs. 1 Satz 2 BGG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Bundesverwaltungsgericht, Abteilung III, und dem Bundesamt für Sozialversicherungen schriftlich mitgeteilt.</w:t>
      </w:r>
    </w:p>
    <w:p>
      <w:r>
        <w:t>Luzern, 17. April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Die Gerichtsschreiberin: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