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9C_242/2017 vom 18. April 2017</w:t>
      </w:r>
    </w:p>
    <w:p>
      <w:r>
        <w:t>Bundesgericht, 2017-04-18, DE</w:t>
      </w:r>
    </w:p>
    <w:p>
      <w:r>
        <w:rPr>
          <w:b/>
        </w:rPr>
        <w:t xml:space="preserve">Quelle: </w:t>
      </w:r>
      <w:r>
        <w:t>https://mcp.opencaselaw.ch/entscheid/bger_9C_242_2017</w:t>
      </w:r>
    </w:p>
    <w:p>
      <w:r>
        <w:t>FR: TF 9C_242/2017 du 18 avril 2017</w:t>
      </w:r>
    </w:p>
    <w:p>
      <w:r>
        <w:t>IT: TF 9C_242/2017 del 18 aprile 2017</w:t>
      </w:r>
    </w:p>
    <w:p>
      <w:pPr>
        <w:pStyle w:val="Heading2"/>
      </w:pPr>
      <w:r>
        <w:t>Volltext</w:t>
      </w:r>
    </w:p>
    <w:p>
      <w:r>
        <w:t>Bundesgericht</w:t>
      </w:r>
    </w:p>
    <w:p>
      <w:r>
        <w:t>Tribunal fédéral</w:t>
      </w:r>
    </w:p>
    <w:p>
      <w:r>
        <w:t>Tribunale federale</w:t>
      </w:r>
    </w:p>
    <w:p>
      <w:r>
        <w:t>Tribunal federal</w:t>
      </w:r>
    </w:p>
    <w:p>
      <w:r>
        <w:t>{T 0/2}</w:t>
      </w:r>
    </w:p>
    <w:p>
      <w:r>
        <w:t>9C_242/2017</w:t>
      </w:r>
    </w:p>
    <w:p>
      <w:r>
        <w:t>Urteil vom 18. April 2017</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Entscheid des Sozialversicherungsgerichts des Kantons Zürich</w:t>
      </w:r>
    </w:p>
    <w:p>
      <w:r>
        <w:t>vom 20. Februar 2017.</w:t>
      </w:r>
    </w:p>
    <w:p>
      <w:r>
        <w:t>Nach Einsicht</w:t>
      </w:r>
    </w:p>
    <w:p>
      <w:r>
        <w:t>in die Beschwerde vom 29. März 2017 (Poststempel) gegen den Entscheid des Sozialversicherungsgerichts des Kantons Zürich vom 20. Februar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in der Beschwerdeschrift selbst enthalten sein muss und blosse Verweise auf frühere Rechtsschriften unbeachtlich sind ( BGE 141 V 416 E. 4 S. 421 mit weiteren Hinweisen),</w:t>
      </w:r>
    </w:p>
    <w:p>
      <w:r>
        <w:t>dass die Beschwerde diesen inhaltlichen Mindestanforderungen nicht genügt, da sie zwar rechtsgenügliche Anträge enthält, den Ausführungen jedoch nicht entnommen werden kann, inwiefern die Sachverhaltsfeststellung im Sinne von Art. 97 Abs. 1 BGG - soweit überhaupt beanstandet - unzutreffend und die darauf beruhenden Erwägungen rechtsfehlerhaft sein sollen,</w:t>
      </w:r>
    </w:p>
    <w:p>
      <w:r>
        <w:t>dass der Beschwerdeführer vielmehr die eigene Sichtweise vorträgt und seine Ausführungen sich einzig mit Tatfragen befassen, ohne dass mit hinreichender Begründung geltend gemacht wird, die vorinstanzlichen Sachverhaltsfeststellungen seien offensichtlich unrichtig (willkürlich, unhaltbar: BGE 137 II 353 E. 5.1 S. 356; 135 II 145 E. 8.1 S. 153),</w:t>
      </w:r>
    </w:p>
    <w:p>
      <w:r>
        <w:t>dass deshalb im vereinfachten Verfahren nach Art. 108 Abs. 1 lit. b BGG auf die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18. April 2017</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