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240/2024 vom 14. November 2024</w:t>
      </w:r>
    </w:p>
    <w:p>
      <w:r>
        <w:t>Bundesgericht, 2024-11-14, FR</w:t>
      </w:r>
    </w:p>
    <w:p>
      <w:r>
        <w:rPr>
          <w:b/>
        </w:rPr>
        <w:t xml:space="preserve">Quelle: </w:t>
      </w:r>
      <w:r>
        <w:t>https://mcp.opencaselaw.ch/entscheid/bger_9C_240_2024</w:t>
      </w:r>
    </w:p>
    <w:p>
      <w:r>
        <w:t>FR: TF 9C 240/2024 du 14 novembre 2024</w:t>
      </w:r>
    </w:p>
    <w:p>
      <w:r>
        <w:t>IT: TF 9C 240/2024 del 14 novembre 2024</w:t>
      </w:r>
    </w:p>
    <w:p>
      <w:pPr>
        <w:pStyle w:val="Heading2"/>
      </w:pPr>
      <w:r>
        <w:t>Regeste</w:t>
      </w:r>
    </w:p>
    <w:p>
      <w:r>
        <w:t>Impôts cantonaux et communaux du canton de Valais et impôt fédéral, périodes fiscales 2016-2017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L'instance précédente a traité dans un seul arrêt de l'IFD et des ICC, ce qui est admissible. Partant, le dépôt d'un seul acte de recours est aussi autorisé, dans la mesure où le recourant s'en prend clairement aux deux catégories d'impôts ( ATF 142 II 293 consid. 1.2; 135 II 260 consid. 1.3.1).</w:t>
      </w:r>
    </w:p>
    <w:p>
      <w:r>
        <w:rPr>
          <w:b/>
        </w:rPr>
        <w:t>E. 2.1</w:t>
      </w:r>
    </w:p>
    <w:p>
      <w:r>
        <w:t>Saisi d'un recours en matière de droit public, le Tribunal fédéral applique le droit d'office ( art. 106 al. 1 LTF ). Il examine librement l'application du droit fédéral ainsi que la conformité du droit cantonal harmonisé et de sa mise en application par les instances cantonales aux dispositions de la LHID (cf. ATF 144 II 313 consid. 5.4; arrêt 2C_804/2021 du 14 octobre 2022 consid. 2.1, non publié in ATF 148 II 504 ).</w:t>
      </w:r>
    </w:p>
    <w:p>
      <w:r>
        <w:rPr>
          <w:b/>
        </w:rPr>
        <w:t>E. 2.2.1</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2.2.2</w:t>
      </w:r>
    </w:p>
    <w:p>
      <w:r>
        <w:t>Le recourant présente librement un état du fait comportant de nombreux éléments qui n'ont pas été constatés par le Tribunal cantonal, sans toutefois démontrer que les constatations cantonales seraient manifestement inexactes ou arbitraire. Il n'en sera dès lors pas tenu compte.</w:t>
      </w:r>
    </w:p>
    <w:p>
      <w:r>
        <w:rPr>
          <w:b/>
        </w:rPr>
        <w:t>E. 3</w:t>
      </w:r>
    </w:p>
    <w:p>
      <w:r>
        <w:t>Le litige porte, pour l'IFD et les ICC des périodes fiscales 2016 et 2017, sur la déduction du revenu des rachats en lien avec la prévoyance professionnelle, tels qu'effectués par le contribuable.</w:t>
      </w:r>
    </w:p>
    <w:p>
      <w:r>
        <w:rPr>
          <w:b/>
        </w:rPr>
        <w:t>E. 4</w:t>
      </w:r>
    </w:p>
    <w:p>
      <w:r>
        <w:t>La cour cantonale a retenu que le versement du capital en cause était intervenu moins de trois ans après que le recourant a procédé aux derniers rachats auprès de la Fondation de prévoyance, de sorte qu'un rappel d'impôt était justifié au regard de l' art. 79b al. 3 LPP . Les circonstances particulières ayant entraîné le retrait du capital invoquées par le contribuable (divorce et conséquences financières de celui-ci, dont le caractère insupportable des frais liés à l'hypothèque grevant la maison familiale compte tenu de ses nouveaux revenus) n'étaient pas pertinentes. En effet, celles-ci constituaient des circonstances individuelles dont la norme objectivée de l' art. 79b al. 3 LPP excluait la prise en compte. Au demeurant, les juges cantonaux ont considéré qu'aucun élément au dossier ne venait étayer les explications du recourant, qui n'avait produit aucune pièce confirmant une diminution conséquente de ses revenus. En outre, il ne se prévalait à raison pas de l' art. 79b al. 4 LPP , cette disposition visant les rachats effectués après un divorce, ce qui n'avait pas été le cas en l'occurrence. Sous l'angle de la protection de la bonne foi, les juges précédents ont considéré que le recourant n'avait pas démontré avoir reçu de la part de l'autorité fiscale une assurance selon laquelle le retrait du capital n'aurait aucune influence sur les déductions des rachats admis pour les périodes fiscales 2016 et 2017. Il n'avait produit aucune confirmation écrite et s'était contenté de reproduire de façon approximative le contenu du prétendu entretien téléphonique avec un employé de l'Administration fiscale, sans citer le nom de la personne contactée et sans préciser la date à laquelle avait eu lieu cet entretien. Par ailleurs, le contribuable n'alléguait pas avoir soumis à l'autorité fiscale une quelconque pièce à l'appui de sa demande, ce qui aurait permis à celle-ci d'en examiner le bien-fondé. En conséquence, les assertions du recourant n'étaient pas vraisemblables et "le procédé suivi" n'était pas susceptible de fonder une confiance légitime, puisque le recourant avait échoué à établir les conditions dont dépendait le droit à la protection de la bonne foi.</w:t>
      </w:r>
    </w:p>
    <w:p>
      <w:r>
        <w:rPr>
          <w:b/>
        </w:rPr>
        <w:t>E. 5.1</w:t>
      </w:r>
    </w:p>
    <w:p>
      <w:r>
        <w:t>Le recourant reproche tout d'abord à la cour cantonale une violation de son droit d'être entendu, au motif qu'elle aurait refusé à tort de procéder à son audition. Il fait en substance valoir que cette mesure aurait permis au Tribunal cantonal "de se faire une impression personnelle de [s]a personne [...] et de s'assurer de la crédibilité de ses propos". Une telle audition était d'autant plus nécessaire que la juridiction administrative avait considéré que ses allégations relatives aux assurances données par l'autorité fiscale n'étaient pas vraisemblables.</w:t>
      </w:r>
    </w:p>
    <w:p>
      <w:r>
        <w:rPr>
          <w:b/>
        </w:rPr>
        <w:t>E. 5.2</w:t>
      </w:r>
    </w:p>
    <w:p>
      <w:r>
        <w:t>Le droit d'être entendu garanti par l' art. 29 al. 2 Cst. comprend le droit pour le justiciable d'obtenir qu'il soit donné suite à ses offres de preuves pertinentes, lorsque cela est de nature à influer sur la décision à rendre (cf. ATF 148 II 73 consid. 7.3.1; 145 I 167 consid. 4.1). Il ne garantit pas, de façon générale, le droit d'être entendu oralement ( ATF 140 I 68 consid. 9.6.1; arrêt 2C_182/2024 du 18 juillet 2024 consid. 6.1). En matière d'imposition directe, ces principes sont concrétisés par les art. 114 et 115 LIFD , ainsi que par l' art. 41 LHID (arrêt 9C_122/2024 du 20 août 2024 consid. 8.2). De jurisprudence constante,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En matière d'appréciation des preuves et d'établissement des faits, il n'y a arbitraire (cf. art. 9 Cst. )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 167 consid. 4.1; arrêt 9C_122/2024 du 20 août 2024 consid. 8.2 et les références).</w:t>
      </w:r>
    </w:p>
    <w:p>
      <w:r>
        <w:rPr>
          <w:b/>
        </w:rPr>
        <w:t>E. 5.3</w:t>
      </w:r>
    </w:p>
    <w:p>
      <w:r>
        <w:t>Au cours de la procédure de première instance, le recourant a pu s'exprimer de manière détaillée dans ses écritures devant le Tribunal cantonal et celui-ci a examiné de manière approfondie les arguments du recourant dans l'arrêt entrepris. On ne discerne donc pas de violation de l' art. 29 al. 2 Cst. Ensuite, la cour cantonale n'a pas procédé de manière arbitraire à une appréciation anticipée des preuves, en ayant considéré que le recourant avait déposé en procédure une attestation sur l'honneur portant sur l'existence et le contenu de l'entretien téléphonique qu'il soutenait avoir eu avec un collaborateur de l'intimé et que son audition ne pouvait rien apporter de plus à la résolution du litige. Elle a en effet expliqué de manière convaincante qu'une confirmation orale de l'attestation écrite n'était pas de nature à apporter des éléments supplémentaires à la résolution du litige, le recourant ne pouvant de plus pas démontrer par d'autres moyens l'existence d'une assurance donnée par l'intimé (consid. 7.3 infra). Vu l'appréciation de la cour cantonale sur ce point, le refus de procéder à l'audition du contribuable échappe à toute critique.</w:t>
      </w:r>
    </w:p>
    <w:p>
      <w:r>
        <w:rPr>
          <w:b/>
        </w:rPr>
        <w:t>E. 6.1</w:t>
      </w:r>
    </w:p>
    <w:p>
      <w:r>
        <w:t>Le recourant reproche ensuite au Tribunal cantonal d'avoir violé l' art. 79b al. 3 LPP . Il allègue que les "opérations" qu'il a effectuées ont été guidées par des considérations de prévoyance et des impératifs liés au divorce, mais aucunement pour des raisons fiscales. Or et selon lui, en l'absence de rachat abusif ou d'actes motivés par des raisons d'évasion fiscale, l'autorité devrait "tempérer la rigueur de l' art. 79b al. 3 LPP et adopter une pratique tenant compte des circonstances du cas d'espèce"; tout autre interprétation de cette disposition violerait le principe de proportionnalité.</w:t>
      </w:r>
    </w:p>
    <w:p>
      <w:r>
        <w:rPr>
          <w:b/>
        </w:rPr>
        <w:t>E. 6.2</w:t>
      </w:r>
    </w:p>
    <w:p>
      <w:r>
        <w:t>Selon l' art. 79b al. 3 LPP , les prestations résultant d'un rachat ne peuvent être versées sous forme de capital par les institutions de prévoyance avant l'échéance d'un délai de trois ans. Lorsque des versements anticipés ont été accordés pour l'encouragement à la propriété, des rachats facultatifs ne peuvent être effectués que lorsque ces versements anticipés ont été remboursés. Selon la jurisprudence, il découle de l' art. 79b al. 3 LPP que la déduction d'un rachat doit toujours être refusée, lorsqu'une prestation en capital est versée durant le délai de blocage de trois ans (arrêt 9C_527/2023 du 27 juin 2024 consid. 5.1 et les références); il n'y a donc pas lieu d'examiner si un cas d'évasion fiscale est donné ( ATF 148 II 189 consid. 3.4.2 in fine; arrêt 2C_839/2021 du 27 janvier 2022 consid. 4.4). Par ailleurs, en ayant fixé un délai précis, la loi a instauré un mécanisme objectivement défini. Partant, il n'y a pas lieu d'examiner les motifs qui sous-tendent les choix des contribuables, car ceux-ci ne sont pas déterminants dans le contexte de l'application de l' art. 79b al. 3 LPP (arrêt 9C_642/2022 du 18 septembre 2023 consid. 5.2 et les références). En effet, l'appréciation objective d'une situation en lien avec des rachats de prévoyance professionnelle adoptée par le législateur à l' art. 79b al. 3 LPP a été voulue par celui-ci et lie le Tribunal fédéral ( art. 190 Cst. ; ATF 142 II 182 consid. 2.4.3; arrêt 9C_642/2022 du 18 septembre 2023 consid. 5.2 et les références).</w:t>
      </w:r>
    </w:p>
    <w:p>
      <w:r>
        <w:rPr>
          <w:b/>
        </w:rPr>
        <w:t>E. 6.3</w:t>
      </w:r>
    </w:p>
    <w:p>
      <w:r>
        <w:t>En conséquence de ces principes, c'est à bon droit que le Tribunal cantonal a considéré que les circonstances individuelles auxquelles le recourant se réfère sont sans pertinence dans le cadre de l'application de la norme objectivée de l' art. 79b al. 3 LPP , telle que le législateur l'a voulue. Pour les mêmes raisons, l'argumentation du recourant selon laquelle une "systématisation aveugle [...] va frapper des sujets fiscaux qui n'avaient aucunement l'intention de recourir à des actes abusifs et de parvenir à une évasion fiscale" doit être écartée, puisque la question de savoir si les conditions relatives à un cas d'évasion fiscale sont remplies n'est pas davantage pertinente dans le cadre de l'application de l' art. 79b al. 3 LPP . En ayant confirmé le rappel d'impôt en matière d'IFD tel qu'effectué par l'Administration fiscale, la cour cantonale a donc correctement appliqué le droit fédéral. Par ailleurs, le raisonnement qui précède s'applique mutatis mutandis aux ICC des périodes fiscales sous revue, puisque selon la jurisprudence, l' art. 79b al. 3 LPP est également applicable aux impôts cantonaux et communaux (arrêt 9C_527/2023 du 27 juin 2024 consid. 7).</w:t>
      </w:r>
    </w:p>
    <w:p>
      <w:r>
        <w:rPr>
          <w:b/>
        </w:rPr>
        <w:t>E. 7.1</w:t>
      </w:r>
    </w:p>
    <w:p>
      <w:r>
        <w:t>Le recourant invoque encore la protection de sa bonne foi. Selon lui, l'Administration fiscale lui aurait confirmé que dans le cadre du retrait du capital litigieux, il n'y aurait pas de "rattrapage" en lien avec la déductibilité des rachats effectués auprès de la Fondation de prévoyance et qu'en conséquence, seule une imposition du capital retiré aurait lieu. Il considère également que ses déclarations, selon lesquelles il aurait reçu de telles assurances quant au traitement fiscal lié au retrait du capital, auraient été "écartées d'un simple revers de la main" par les juges cantonaux et que ses dires n'auraient pas reçu la "moindre valeur probante", et ce de manière insoutenable.</w:t>
      </w:r>
    </w:p>
    <w:p>
      <w:r>
        <w:rPr>
          <w:b/>
        </w:rPr>
        <w:t>E. 7.2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(sur le principe de la bonne foi et ses conditions, cf. ATF 150 I 1 consid. 4.1; 146 I 105 consid. 5.1.1; arrêt 2C_137/2022 du 4 novembre 2022 consid. 7.1).</w:t>
      </w:r>
    </w:p>
    <w:p>
      <w:r>
        <w:rPr>
          <w:b/>
        </w:rPr>
        <w:t>E. 7.3</w:t>
      </w:r>
    </w:p>
    <w:p>
      <w:r>
        <w:t>Lorsque le recourant se limite à alléguer qu'il s'agirait "simplement de faire une appréciation découlant du bon sens des moyens de preuve", qu'il ne serait pas concevable que ses déclarations soient une "pure invention et qu'il irait jusqu'à invoquer une discussion téléphonique fantaisiste" ou à se demander si "l'autorité peut[...] raisonnablement penser que le contribuable ne se serait pas renseigné en amont sur les traitements fiscaux de l'opération", il ne démontre pas que les constatations cantonales et l'appréciation des moyens de preuve effectuées par les juges cantonaux sur l'absence d'une assurance de la part de l'intimé seraient arbitraires. Ceux-ci ont en effet avant tout retenu, sans que cela ne soit critiquable, que le recourant n'avait pas démontré avoir reçu des assurances de la part de l'autorité en l'absence de toute confirmation écrite de celle-ci. Par ailleurs, il s'était contenté de retranscrire approximativement le contenu du prétendu entretien, sans citer le nom de la personne concernée ni préciser la date à laquelle il aurait eu lieu, alors que l'intimé avait indiqué n'avoir aucune trace de cet entretien téléphonique. Dans ces conditions, la cour cantonale pouvait en conclure que les allégations du recourant n'étaient pas vraisemblables et qu'il n'avait pas démontré qu'un renseignement ou une assurance de la part de l'autorité fiscale avaient été donnés. Partant, c'est à bon droit qu'ils ont considéré que le recourant ne pouvait pas prétendre à la protection de sa bonne foi, que ce soit sous l'angle de l'IFD ou des ICC des périodes fiscales concernées.</w:t>
      </w:r>
    </w:p>
    <w:p>
      <w:r>
        <w:rPr>
          <w:b/>
        </w:rPr>
        <w:t>E. 8</w:t>
      </w:r>
    </w:p>
    <w:p>
      <w:r>
        <w:t>Vu ce qui précède, le recours est entièrement mal fondé tant en matière d'IFD que d'ICC, ce qui rend la requête d'octroi de l'effet suspensif sans objet.</w:t>
      </w:r>
    </w:p>
    <w:p>
      <w:r>
        <w:rPr>
          <w:b/>
        </w:rPr>
        <w:t>E. 9</w:t>
      </w:r>
    </w:p>
    <w:p>
      <w:r>
        <w:t>Au vu de l'issue du recours, les frais judiciaires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