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9C_240/2023 vom 12. Juli 2023</w:t>
      </w:r>
    </w:p>
    <w:p>
      <w:r>
        <w:t>Bundesgericht, 2023-07-12, DE</w:t>
      </w:r>
    </w:p>
    <w:p>
      <w:r>
        <w:rPr>
          <w:b/>
        </w:rPr>
        <w:t xml:space="preserve">Quelle: </w:t>
      </w:r>
      <w:r>
        <w:t>https://mcp.opencaselaw.ch/entscheid/bger_9C_240_2023</w:t>
      </w:r>
    </w:p>
    <w:p>
      <w:r>
        <w:t>FR: TF 9C_240/2023 du 12 juillet 2023</w:t>
      </w:r>
    </w:p>
    <w:p>
      <w:r>
        <w:t>IT: TF 9C_240/2023 del 12 luglio 2023</w:t>
      </w:r>
    </w:p>
    <w:p>
      <w:pPr>
        <w:pStyle w:val="Heading2"/>
      </w:pPr>
      <w:r>
        <w:t>Volltext</w:t>
      </w:r>
    </w:p>
    <w:p>
      <w:r>
        <w:t>Bundesgericht</w:t>
      </w:r>
    </w:p>
    <w:p>
      <w:r>
        <w:t>Tribunal fédéral</w:t>
      </w:r>
    </w:p>
    <w:p>
      <w:r>
        <w:t>Tribunale federale</w:t>
      </w:r>
    </w:p>
    <w:p>
      <w:r>
        <w:t>Tribunal federal</w:t>
      </w:r>
    </w:p>
    <w:p>
      <w:r>
        <w:t>9C_240/2023</w:t>
      </w:r>
    </w:p>
    <w:p>
      <w:r>
        <w:t>Urteil vom 12. Juli 2023</w:t>
      </w:r>
    </w:p>
    <w:p>
      <w:r>
        <w:t>III. öffentlich-rechtliche Abteilung</w:t>
      </w:r>
    </w:p>
    <w:p>
      <w:r>
        <w:t>Besetzung</w:t>
      </w:r>
    </w:p>
    <w:p>
      <w:r>
        <w:t>Bundesrichter Stadelmann, als Einzelrichter,</w:t>
      </w:r>
    </w:p>
    <w:p>
      <w:r>
        <w:t>Gerichtsschreiberin Stanger.</w:t>
      </w:r>
    </w:p>
    <w:p>
      <w:r>
        <w:t>Verfahrensbeteiligte</w:t>
      </w:r>
    </w:p>
    <w:p>
      <w:r>
        <w:t>A.________,</w:t>
      </w:r>
    </w:p>
    <w:p>
      <w:r>
        <w:t>Beschwerdeführer,</w:t>
      </w:r>
    </w:p>
    <w:p>
      <w:r>
        <w:t>gegen</w:t>
      </w:r>
    </w:p>
    <w:p>
      <w:r>
        <w:t>1. Handelsregisteramt des Kantons Zürich, Schöntalstrasse 5, 8004 Zürich,</w:t>
      </w:r>
    </w:p>
    <w:p>
      <w:r>
        <w:t>2. Stiftung B.________,</w:t>
      </w:r>
    </w:p>
    <w:p>
      <w:r>
        <w:t>Beschwerdegegner.</w:t>
      </w:r>
    </w:p>
    <w:p>
      <w:r>
        <w:t>Gegenstand</w:t>
      </w:r>
    </w:p>
    <w:p>
      <w:r>
        <w:t>Berufliche Vorsorge,</w:t>
      </w:r>
    </w:p>
    <w:p>
      <w:r>
        <w:t>Beschwerde gegen das Urteil des Sozialversicherungsgerichts des Kantons Zürich vom 23. Februar 2023 (BV.2023.00012).</w:t>
      </w:r>
    </w:p>
    <w:p>
      <w:r>
        <w:t>Nach Einsicht</w:t>
      </w:r>
    </w:p>
    <w:p>
      <w:r>
        <w:t>in die Beschwerde vom 29. März 2023 gegen das Urteil des Sozialversicherungsgerichts des Kantons Zürich vom 23. Februar 2023,</w:t>
      </w:r>
    </w:p>
    <w:p>
      <w:r>
        <w:t>in die A.________ am 20. Juni 2023 zugestellte Verfügung vom 5. Juni 2023, mit welcher dieser zur Bezahlung eines Kostenvorschusses innert einer Nachfrist bis zum 30. Juni 2023 verpflichtet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und Abs. 2 BGG auf die Beschwerde nicht einzutreten ist,</w:t>
      </w:r>
    </w:p>
    <w:p>
      <w:r>
        <w:t>dass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12. Juli 2023</w:t>
      </w:r>
    </w:p>
    <w:p>
      <w:r>
        <w:t>Im Namen der III. öffentlich-rechtlichen Abteilung</w:t>
      </w:r>
    </w:p>
    <w:p>
      <w:r>
        <w:t>des Schweizerischen Bundesgerichts</w:t>
      </w:r>
    </w:p>
    <w:p>
      <w:r>
        <w:t>Der Einzelrichter: Stadelmann</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