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239/2021 vom 14. Dezember 2021</w:t>
      </w:r>
    </w:p>
    <w:p>
      <w:r>
        <w:t>Bundesgericht, 2021-12-14, FR</w:t>
      </w:r>
    </w:p>
    <w:p>
      <w:r>
        <w:rPr>
          <w:b/>
        </w:rPr>
        <w:t xml:space="preserve">Quelle: </w:t>
      </w:r>
      <w:r>
        <w:t>https://mcp.opencaselaw.ch/entscheid/bger_9C_239_2021</w:t>
      </w:r>
    </w:p>
    <w:p>
      <w:r>
        <w:t>FR: TF 9C 239/2021 du 14 décembre 2021</w:t>
      </w:r>
    </w:p>
    <w:p>
      <w:r>
        <w:t>IT: TF 9C 239/2021 del 14 dicembre 2021</w:t>
      </w:r>
    </w:p>
    <w:p>
      <w:pPr>
        <w:pStyle w:val="Heading2"/>
      </w:pPr>
      <w:r>
        <w:t>Regeste</w:t>
      </w:r>
    </w:p>
    <w:p>
      <w:r>
        <w:t>Assurance-invalidité (nouvelle demande)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en l'espèce dans le cadre d'une nouvelle demande de prestations. Etant donné les motifs du recours, il porte plus particulièrement sur l'appréciation de l'état de santé du recourant et de sa capacité de travail en lien avec l'appréciation des pièces médicales, en particulier du rapport d'expertise de SMEX, la prise en considération d'un rendement diminué de 20 % dans la détermination du taux d'invalidité et la réalisation de mesures de réadaptation au regard de l'âge de l'assuré.</w:t>
      </w:r>
    </w:p>
    <w:p>
      <w:r>
        <w:rPr>
          <w:b/>
        </w:rPr>
        <w:t>E. 3</w:t>
      </w:r>
    </w:p>
    <w:p>
      <w:r>
        <w:t>L'arrêt attaqué expose les normes et la jurisprudence indispensables à la résolution du litige, notamment celles relatives au rôle des médecins ( ATF 125 V 256 consid. 4), ainsi qu'au principe de la libre appréciation des preuves et à la valeur probante des rapports médicaux, établis par les médecins traitants ou des experts ( ATF 125 V 351 consid. 3; 137 V 210 consid. 4.4.1.4). Il cite encore l' art. 16 LPGA sur l'évaluation de l'invalidité au moyen de la méthode de comparaison des revenus. Il suffit d'y renvoyer.</w:t>
      </w:r>
    </w:p>
    <w:p>
      <w:r>
        <w:rPr>
          <w:b/>
        </w:rPr>
        <w:t>E. 4.1</w:t>
      </w:r>
    </w:p>
    <w:p>
      <w:r>
        <w:t>L'assuré fait grief à la cour cantonale d'avoir suivi les conclusions du rapport d'expertise de SMEX, dont il conteste la valeur probante. Ce grief est mal fondé. Pour reconnaître valeur probante à l'expertise administrative, la juridiction cantonale s'est fondée en tout point sur les exigences tirées de la jurisprudence en la matière. Pour le reste, elle a expliqué de manière convaincante les raisons pour lesquelles elle faisait siennes les conclusions de l'expertise (à savoir, le fait que l'expert psychiatre a expliqué d'une façon circonstanciée pourquoi il excluait les diagnostics retenus par le psychiatre traitant, que l'avis de ce dernier était succinct et peu motivé, que l'expert, spécialiste en chirurgie orthopédique, avait également détaillé les raisons pour lesquelles il se distançait de l'avis des médecins traitants au sujet des seules questions controversées quant à l'exigibilité d'une activité adaptée ou à l'existence d'une détérioration de la situation et que tous les médecins consultés s'entendaient pour attester une capacité résiduelle de travail). Or le recourant se contente de présenter sa propre version des faits qui s'écarte ou complète celle constatée dans l'arrêt attaqué sans démontrer qu'elle serait manifestement inexacte ou arbitraire. Cette façon d'argumenter ne remplit pas les exigences de motivation dès lors que fait défaut une critique circonstanciée de l'appréciation de la juridiction cantonale (cf. ATF 145 V 188 consid. 2 et les références), dont il n'y a pas lieu de s'écarter.</w:t>
      </w:r>
    </w:p>
    <w:p>
      <w:r>
        <w:rPr>
          <w:b/>
        </w:rPr>
        <w:t>E. 4.2</w:t>
      </w:r>
    </w:p>
    <w:p>
      <w:r>
        <w:t>L'assuré reproche également au tribunal cantonal d'avoir confirmé la décision litigieuse par laquelle l'administration avait omis de prendre en compte la même diminution de rendement que dans sa décision du 12 février 2009. Cet argument n'est pas recevable. En effet, le recourant ne s'en prend pas à la motivation alternative des premiers juges, selon laquelle dans l'hypothèse la plus généreuse pour l'assuré d'une situation inchangée, l'introduction de la baisse de rendement de 20 % dans l'évaluation (non contestée par ailleurs) de l'invalidité donne un taux d'invalidité de 35 % insuffisant pour ouvrir le droit à une rente. Cette manière d'argumenter ne satisfait pas aux exigences de motivation d'un recours lorsque, comme en l'espèce, la décision attaquée comporte plusieurs motivations alternatives, toutes suffisantes pour sceller le sort de la cause; le recourant ne démontre en effet pas que chacune des motivations alternatives est contraire au droit (cf. ATF 138 I 97 consid. 4.1.4 et les références).</w:t>
      </w:r>
    </w:p>
    <w:p>
      <w:r>
        <w:rPr>
          <w:b/>
        </w:rPr>
        <w:t>E. 4.3</w:t>
      </w:r>
    </w:p>
    <w:p>
      <w:r>
        <w:t>Le recourant fait enfin grief à la juridiction de première instance de ne pas avoir mis oeuvre des mesures de réadaptation en raison de son âge (56 ans) à l'époque de la décision litigieuse et de son incapacité de travailler depuis plusieurs années. Cette argumentation n'est pas fondée. L'assuré omet effectivement de prendre en compte que la jurisprudence citée à l'appui de son grief (cf. l'arrêt 9C_276/2020 du 18 décembre 2020) implique nécessairement la réduction ou la suppression d'une rente d'invalidité ou bien l'allocation d'une rente échelonnée et/ou limitée dans le temps (cf. ATF 145 V 209 consid. 5), ce qui n'est pas le cas en l'espèce.</w:t>
      </w:r>
    </w:p>
    <w:p>
      <w:r>
        <w:rPr>
          <w:b/>
        </w:rPr>
        <w:t>E. 4.4</w:t>
      </w:r>
    </w:p>
    <w:p>
      <w:r>
        <w:t>Mal motivé et manifestement mal fondé, le recours doit être rejeté selon la procédure simplifiée de l' art. 109 al. 1 let. a LTF .</w:t>
      </w:r>
    </w:p>
    <w:p>
      <w:r>
        <w:rPr>
          <w:b/>
        </w:rPr>
        <w:t>E. 5</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