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238/2010 vom 10. September 2010</w:t>
      </w:r>
    </w:p>
    <w:p>
      <w:r>
        <w:t>Bundesgericht, 2010-09-10, FR</w:t>
      </w:r>
    </w:p>
    <w:p>
      <w:r>
        <w:rPr>
          <w:b/>
        </w:rPr>
        <w:t xml:space="preserve">Quelle: </w:t>
      </w:r>
      <w:r>
        <w:t>https://mcp.opencaselaw.ch/entscheid/bger_9C_238_2010</w:t>
      </w:r>
    </w:p>
    <w:p>
      <w:r>
        <w:t>FR: TF 9C 238/2010 du 10 septembre 2010</w:t>
      </w:r>
    </w:p>
    <w:p>
      <w:r>
        <w:t>IT: TF 9C 238/2010 del 10 settembre 2010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Se fondant sur l'expertise de la doctoresse O.________, la juridiction cantonale a constaté que la capacité de travail résiduelle de l'assuré dans toute activité s'était durablement améliorée pour passer de 50 à 80 %. Peu étayés et n'apportant aucun élément objectif nouveau, les rapports des docteurs J.________ et E.________ n'étaient pas de nature à mettre en doute les conclusions de l'experte. Dans la mesure où les observations rapportées n'émanaient pas de personnes qualifiées pour se prononcer sur la question du taux d'invalidité, les témoignages écrits des proches de l'assuré ne revêtaient aucune force probante. Quant aux données économiques concernant l'entreprise du recourant, elles n'établissaient aucunement que la diminution du chiffre d'affaires constatée était la conséquence exclusive de l'état de santé du recourant.</w:t>
      </w:r>
    </w:p>
    <w:p>
      <w:r>
        <w:rPr>
          <w:b/>
        </w:rPr>
        <w:t>E. 3</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 En l'occurrence, la juridiction cantonale a expliqué de manière précise les raisons pour lesquelles elle considérait que l'expertise de la doctoresse O.________ permettait de conclure à l'existence d'une modification sensible de l'état de santé psychique du recourant. Une évaluation médicale complète et approfondie telle que l'expertise susmentionnée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 l'appui de ses griefs, le recourant se contente de juxtaposer l'expertise aux rapports divergents de ses médecins traitants et de renvoyer aux pièces versées au dossier. Hormis la divergence d'opinion quant au diagnostic et au degré de capacité de travail exigible, il ne cherche pas véritablement à démontrer, par une argumentation précise et étayée, l'existence de contradictions manifestes ou d'éléments cliniques ou diagnostiques ignorés, et encore moins à expliquer en quoi le point de vue de ses médecins traitants serait objectivement mieux fondé que celui de l'experte ou justifierait la mise en oeuvre d'une mesure d'instruction complémentaire. De même ne saurait-on tirer des résultats d'exploitation de l'entreprise du recourant des conclusions probantes, dès lors que la baisse du chiffre d'affaires peut également résulter de facteurs conjoncturels dont la portée ne peut être déterminée. Faute de griefs suffisamment motivés, il n'y a pas lieu de remettre en cause le bien-fondé de l'expertise réalisée par la doctoresse O.________ et, partant, le résultat de l'appréciation des preuves opérée par les premiers juges.</w:t>
      </w:r>
    </w:p>
    <w:p>
      <w:r>
        <w:rPr>
          <w:b/>
        </w:rPr>
        <w:t>E. 4</w:t>
      </w:r>
    </w:p>
    <w:p>
      <w:r>
        <w:t>En tant que le recourant reproche à la juridiction cantonale d'avoir confondu le taux d'invalidité avec l'incapacité de travail présentée par l'assuré, il ne saurait être suivi. Dans la mesure où il est désormais en mesure d'exercer à 80 % l'activité qui était la sienne avant la survenance de l'atteinte à la santé, la juridiction cantonale a, implicitement, estimé opportun de procéder à une comparaison en pour cent pour évaluer la perte de gain. Cette manière de procéder est conforme au droit fédéral (cf. ATF 114 V 310 consid. 3a p. 313 et les références), de sorte que le grief doit être rejeté.</w:t>
      </w:r>
    </w:p>
    <w:p>
      <w:r>
        <w:rPr>
          <w:b/>
        </w:rPr>
        <w:t>E. 5</w:t>
      </w:r>
    </w:p>
    <w:p>
      <w:r>
        <w:t>Mal fondé, le présent recours doit être rejeté selon la procédure simplifiée de l' art. 109 al. 2 let. a LTF , sans qu'il y ait lieu d'ordonner un échange d'écritures. 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