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237/2016 vom 24. August 2016</w:t>
      </w:r>
    </w:p>
    <w:p>
      <w:r>
        <w:t>Bundesgericht, 2016-08-24, FR</w:t>
      </w:r>
    </w:p>
    <w:p>
      <w:r>
        <w:rPr>
          <w:b/>
        </w:rPr>
        <w:t xml:space="preserve">Quelle: </w:t>
      </w:r>
      <w:r>
        <w:t>https://mcp.opencaselaw.ch/entscheid/bger_9C_237_2016</w:t>
      </w:r>
    </w:p>
    <w:p>
      <w:r>
        <w:t>FR: TF 9C 237/2016 du 24 août 2016</w:t>
      </w:r>
    </w:p>
    <w:p>
      <w:r>
        <w:t>IT: TF 9C 237/2016 del 24 agosto 2016</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2.1</w:t>
      </w:r>
    </w:p>
    <w:p>
      <w:r>
        <w:t>Est litigieux le point de savoir si l'office recourant était fondé à nier le droit de l'intimée à une rente. Il s'agit en particulier de déterminer quelle méthode d'évaluation de l'invalidité devait être appliquée par le tribunal cantonal. Le jugement entrepris expose de manière complète les dispositions légales et les principes jurisprudentiels applicables en l'espèce. Il suffit d'y renvoyer.</w:t>
      </w:r>
    </w:p>
    <w:p>
      <w:r>
        <w:rPr>
          <w:b/>
        </w:rPr>
        <w:t>E. 2.2</w:t>
      </w:r>
    </w:p>
    <w:p>
      <w:r>
        <w:t>On rappellera que le choix de la méthode d'évaluation de l'invalidité est une question de droit sur laquelle le Tribunal fédéral se prononce librement (arrêts I 701/06 du 5 janvier 2007 consid. 3.2 et I 990/06 du 28 mars 2007 consid. 4.2). Selon la jurisprudence (cf. arrêt 9C_225/2016 du 14 juillet 2016 consid. 6.2.2 et 6.2.3), il est possible de fixer la perte de gain d'un assuré directement sur la base de son incapacité de travail en faisant une comparaison en pour-cent. Cette méthode constitue une variante admissible de la comparaison des revenus basée sur des données statistiques: le revenu hypothétique réalisable sans invalidité équivaut alors à 100 %, tandis que le revenu d'invalide est estimé à un pourcentage plus bas, la différence en pour-cent entre les deux valeurs exprimant le taux d'invalidité (arrêts 8C_628/2015 du 6 avril 2016 consid. 5.3.5 et 8C_211/2013 du 3 octobre 2013 consid. 4.1 in SVR 2014 UV n° 1 p. 1; Meyer/Reichmuth, Bundesgesetz über die Invalidenversicherung [IVG], 3ème éd. 2014, n. 35 s. ad art. 28a LAI ).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arrêts 9C_100/2010 du 23 mars 2010 consid. 2.1, 9C_310/2009 du 14 avril 2010 consid. 3.2 et 8C_294/2008 du 2 décembre 2008 consid. 6.4.1).</w:t>
      </w:r>
    </w:p>
    <w:p>
      <w:r>
        <w:rPr>
          <w:b/>
        </w:rPr>
        <w:t>E. 3.1</w:t>
      </w:r>
    </w:p>
    <w:p>
      <w:r>
        <w:t>La juridiction cantonale a déterminé le degré d'invalidité de l'assurée en procédant à une comparaison en pour-cent, tandis que l'office recourant soutient qu'il convenait d'appliquer la méthode de la comparaison des revenus.</w:t>
      </w:r>
    </w:p>
    <w:p>
      <w:r>
        <w:rPr>
          <w:b/>
        </w:rPr>
        <w:t>E. 3.2</w:t>
      </w:r>
    </w:p>
    <w:p>
      <w:r>
        <w:t>Comme l'ont retenu les premiers juges, les conditions étaient réunies pour procéder à une comparaison en pour-cent. En effet, l'intimée était en mesure de reprendre l'activité qui était la sienne avant la survenance de l'atteinte à la santé - l'office AI ayant retenu une capacité de travail de 60 % dès le 2 juin 2007 dans l'activité habituelle, puis de 100 % dès le 11 mars 2009. L'assurée a par ailleurs effectivement repris cette activité après l'accident survenu le 25 mars 2007 à 60 % dès le 1 er juin 2007 (rapport d'expertise du CEMed du 25 janvier 2008 et questionnaire pour l'employeur du 23 avril 2008). Le fait que son employeur l'a ultérieurement licenciée (avec effet au 31 mai 2008) n'a pas d'incidence sur le choix de la méthode à appliquer pour calculer le taux d'invalidité puisque l'intimée avait déjà repris son ancienne activité en 2007. Elle a en outre conservé un éventail relativement large de possibilités de réintégration sur un marché du travail similaire à celui dans lequel se trouvait son activité de représentante et dont les revenus concernés auraient ainsi été fondés sur les mêmes données statistiques. En tout état de cause, il serait difficile de chiffrer les revenus de l'assurée avec et sans invalidité, le salaire de cette dernière se composant à raison de 50 % d'une part fixe et de 50 % d'une part variable en fonction des commissions perçues. Par conséquent, dans la mesure où l'intimée était incapable de poursuivre son activité habituelle à raison de 40 % mais a continué son activité à un taux de travail réduit, la perte de gain ne pouvait que correspondre à la diminution de rendement. L'incapacité de travail se confondait ainsi avec l'incapacité de gain. C'est dès lors à bon droit que la juridiction cantonale a fixé le taux d'invalidité à 40 % sans analyse des revenus mais en procédant à la comparaison en pour-cent.</w:t>
      </w:r>
    </w:p>
    <w:p>
      <w:r>
        <w:rPr>
          <w:b/>
        </w:rPr>
        <w:t>E. 4</w:t>
      </w:r>
    </w:p>
    <w:p>
      <w:r>
        <w:t>Mal fondé, le recours doit être rejeté selon la procédure simplifiée de l' art. 109 al. 2 let. a LTF .</w:t>
      </w:r>
    </w:p>
    <w:p>
      <w:r>
        <w:rPr>
          <w:b/>
        </w:rPr>
        <w:t>E. 5</w:t>
      </w:r>
    </w:p>
    <w:p>
      <w:r>
        <w:t>Vu l'issue du litige, les frais judiciaires sont mis à la charge de l'office recourant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