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236/2021 vom 3. September 2021</w:t>
      </w:r>
    </w:p>
    <w:p>
      <w:r>
        <w:t>Bundesgericht, 2021-09-03, DE</w:t>
      </w:r>
    </w:p>
    <w:p>
      <w:r>
        <w:rPr>
          <w:b/>
        </w:rPr>
        <w:t xml:space="preserve">Quelle: </w:t>
      </w:r>
      <w:r>
        <w:t>https://mcp.opencaselaw.ch/entscheid/bger_9C_236_2021</w:t>
      </w:r>
    </w:p>
    <w:p>
      <w:r>
        <w:t>FR: TF 9C 236/2021 du 3 septembre 2021</w:t>
      </w:r>
    </w:p>
    <w:p>
      <w:r>
        <w:t>IT: TF 9C 236/2021 del 3 settembre 2021</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(weiteren) Eintretensvoraussetzungen von Amtes wegen und mit freier Kognition ( Art. 29 Abs. 1 BGG ; BGE 144 V 280 E. 1 mit Hinweis).</w:t>
      </w:r>
    </w:p>
    <w:p>
      <w:r>
        <w:rPr>
          <w:b/>
        </w:rPr>
        <w:t>E. 1.2</w:t>
      </w:r>
    </w:p>
    <w:p>
      <w:r>
        <w:t>Neue Tatsachen und Beweismittel dürfen im bundesgerichtlichen Verfahren gemäss Art. 99 Abs. 1 BGG nur so weit vorgebracht werden, als erst der Entscheid der Vorinstanz dazu Anlass gibt. Neue Begehren sind gemäss Art. 99 Abs. 2 BGG unzulässig. Soweit die Beschwerdeführerin vor Bundesgericht erstmals beantragt, die Verfügung vom 6. Februar 2019 sei durch eine Nichteintretens-verfügung zu ersetzen, ist auf die Beschwerde nicht einzutreten.</w:t>
      </w:r>
    </w:p>
    <w:p>
      <w:r>
        <w:rPr>
          <w:b/>
        </w:rPr>
        <w:t>E. 1.3.1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1.3.2</w:t>
      </w:r>
    </w:p>
    <w:p>
      <w:r>
        <w:t>Bei Entscheiden, mit welchen ein kantonales Gericht die Sache zu neuem Entscheid an die Verwaltung zurückweist (Rückweisungsentscheide) sind folgende Konstellationen zu unterscheiden: Dient die Rückweisung einzig noch der Umsetzung des vom kantonalen Gericht Angeordneten und verbleibt dem Versicherungsträger somit kein Entscheidungsspielraum mehr, handelt es sich materiell nicht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Der irreversible Nachteil im Sinne von Art. 93 Abs. 1 lit. a BGG wird in diesen Fällen deshalb regelmässig bejaht.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140 V 282 E. 4.2 mit Hinweisen; vgl. auch Urteil 9C_553/2019 vom 23. Oktober 2019 E. 4.1).</w:t>
      </w:r>
    </w:p>
    <w:p>
      <w:r>
        <w:rPr>
          <w:b/>
        </w:rPr>
        <w:t>E. 1.3.3</w:t>
      </w:r>
    </w:p>
    <w:p>
      <w:r>
        <w:t>Mit dem angefochtenen Entscheid wies das kantonale Gericht die Sache zum Einholen eines erneuten psychiatrischen Gutachtens und anschliessender Neuverfügung an die Beschwerdeführerin zurück. Weiter wird die IV-Stelle angewiesen, den Versicherten im Rahmen eines Mahn- und Bedenkzeitverfahrens im Sinne von Art. 43 Abs. 3 ATSG zu einer uneingeschränkten Mitwirkung an der Begutachtung aufzufordern. Für den Fall, dass der Versicherte seiner Mitwirkungspflicht nicht genügend nachkommt, legt der vorinstanzliche Entscheid als einzig mögliche Sanktion eine Verfahrenssistierung fest.</w:t>
      </w:r>
    </w:p>
    <w:p>
      <w:r>
        <w:rPr>
          <w:b/>
        </w:rPr>
        <w:t>E. 1.3.4</w:t>
      </w:r>
    </w:p>
    <w:p>
      <w:r>
        <w:t>Die beschwerdeführende IV-Stelle rügt diese Vorgabe (Sanktionierung durch Verfahrenssistierung) als bundesrechtswidrig. Durch diese Vorgabe wäre sie unter Umständen gezwungen, eine ihres Erachtens rechtswidrige Verfügung zu erlassen, womit ihr durch den angefochtenen Entscheid in diesem Punkt ein nicht wiedergutzumachender Nachteil im Sinne der obstehenden Rechtsprechung (vgl. E. 1.3.2 hievor) entsteht. Am Erfüllen dieses Erfordernisses vermag auch der Umstand nichts zu ändern, dass sich die Frage einer Sanktionierung insofern voraussichtlich nicht stellen wird, als zu erwarten ist, dass der Versicherte bei einem korrekt durchgeführten Mahn- und Bedenkzeitverfahren seine Widersetzlichkeit aufgeben wird. Sollte er demgegenüber wider Erwarten seine Mitwirkung weiterhin verweigern, so kann es nicht Aufgabe der Verwaltung sein, die Anordnungen des kantonalen Gerichts auf ihre Rechtmässigkeit zu überprüfen und sich allenfalls eigenständig darüber hinwegzusetzen. Soweit die Vorgabe der einzig möglichen Sanktion durch eine Verfahrenssistierung betrifft, ist somit auf die Beschwerde einzutreten. Andere materiellrechtliche Vorgaben, welche die IV-Stelle bei der Neuverfügung in jedem Fall zu beachten hätte, sind im angefochtenen Entscheid nicht enthalten. Im Weiteren wird auch bei einer Gutheissung der Beschwerde bezüglich der angefochtenen Vorgabe die Rückweisung als solche nicht obsolet. Diese führt somit lediglich zu einer das Eintretenskriterium nicht erfüllenden Verlängerung oder Verteuerung des Verfahrens. Demzufolge ist auf die Beschwerde nicht einzutreten, soweit diese die Rückweisung als solche betrifft (vgl. UrteilI 126/07 vom 6. August 2007 E. 1.2, nicht publ. in: BGE 133 V 504 , aber in: SVR 2008 IV Nr. 31 S. 100).</w:t>
      </w:r>
    </w:p>
    <w:p>
      <w:r>
        <w:rPr>
          <w:b/>
        </w:rPr>
        <w:t>E. 2</w:t>
      </w:r>
    </w:p>
    <w:p>
      <w:r>
        <w:t>Zu prüfen ist somit im vorliegenden Verfahren einzig, ob die Vorgabe des kantonalen Gerichts, wonach bei einer anhaltenden Widersetzlichkeit des Versicherten dieser mit einer Verfahrenssistierung zu sanktionieren ist, vor Bundesrecht standhält.</w:t>
      </w:r>
    </w:p>
    <w:p>
      <w:r>
        <w:rPr>
          <w:b/>
        </w:rPr>
        <w:t>E. 2.1</w:t>
      </w:r>
    </w:p>
    <w:p>
      <w:r>
        <w:t>Nach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gemäss Art. 43 Abs. 2 ATSG zu unterziehen. Kommen die versicherte Person oder andere Personen, die Leistungen beanspruchen, den Auskunfts- oder Mitwirkungspflichten in unentschuldbarer Weise nicht nach, so kann der Versicherungsträger in Anwendung von Art. 43 Abs. 3 ATSG auf Grund der Akten verfügen oder die Erhebungen einstellen und Nichteintreten beschliessen. Er muss diese Personen vorher schriftlich mahnen und auf die Rechtsfolgen hinweisen; ihnen ist eine angemessene Bedenkzeit einzuräumen.</w:t>
      </w:r>
    </w:p>
    <w:p>
      <w:r>
        <w:rPr>
          <w:b/>
        </w:rPr>
        <w:t>E. 2.2</w:t>
      </w:r>
    </w:p>
    <w:p>
      <w:r>
        <w:t>Wie die Beschwerdeführerin zutreffend geltend macht, verstösst die vorinstanzliche Vorgabe nicht nur gegen den Wortlaut von Art. 43 Abs. 3 ATSG , sondern auch gegen die dazu ergangene bundesgerichtliche Rechtsprechung. Zwar ist der Vorinstanz insofern beizupflichten, als bei der nach Art. 43 Abs. 3 ATSG zu verfügenden Sanktion der Verhältnismässigkeitsgrundsatz zu berücksichtigen ist. Aus diesem Grundsatz folgt aber gemäss Rechtsprechung, dass bei einer anhaltenden Mitwirkungspflichtverweigerung im Falle einer Erstanmeldung zum Leistungsbezug bei der Invalidenversicherung die später erklärte Bereitschaft zur Mitwirkung als Neuanmeldung zu betrachten ist. Massgebend ist der Zeitpunkt, in welchem der Versicherte seine verweigernde Haltung aufgibt und sich bereit erklärt, an der Abklärung der Verhältnisse mitzuwirken (SVR 2017 IV Nr. 50 S. 150, 9C_244/2016 E. 3.3 mit Hinweisen). Eine nach Erlass einer auf Art. 43 Abs. 3 ATSG gestützten Verfügung erklärte Mitwirkungsbereitschaft macht die Widersetzlichkeit nicht ungeschehen (vgl. Urteile 8C_733/2010 vom 10. Dezember 2010 E. 5.6, 9C_994/2009 vom 22. März 2010 E. 5.1). In einem solchen Fall ist im Rahmen der Neuanmeldung für die Zukunft zu prüfen, ob auf die bisherige Leistungsablehnung zurückzukommen ist (SVR 2017 IV Nr. 50 S. 150, 9C_244/2016 E. 3.3 mit Hinweisen; vgl. auch Urteil 8C_494/2019 vom 10. Dezember 2019 E. 4.1). Ist aber die Aufgabe der Widersetzlichkeit praxisgemäss als Neuanmeldegrund zu betrachten, so besteht kein Anlass, bei einer verweigerten Mitwirkung von den gesetzlich vorgesehenen Rechtsfolgen ("auf Grund der Akten verfügen oder die Erhebungen einstellen und Nichteintreten beschliessen") abzugehen und das Verwaltungsverfahren (lediglich) zu sistieren.</w:t>
      </w:r>
    </w:p>
    <w:p>
      <w:r>
        <w:rPr>
          <w:b/>
        </w:rPr>
        <w:t>E. 2.3</w:t>
      </w:r>
    </w:p>
    <w:p>
      <w:r>
        <w:t>Soweit die Vorgabe des kantonalen Gerichts betreffend, wonach bei einer Widersetzlichkeit der Versicherte mit einer Verfahrenssistierung zu sanktionieren ist, ist die Beschwerde demnach gutzuheissen und die Vorgabe ist aufzuheben.</w:t>
      </w:r>
    </w:p>
    <w:p>
      <w:r>
        <w:rPr>
          <w:b/>
        </w:rPr>
        <w:t>E. 3</w:t>
      </w:r>
    </w:p>
    <w:p>
      <w:r>
        <w:t>Da die beschwerdeführende IV-Stelle lediglich in einem untergeordneten, formellen Punkt obsiegt, rechtfertigt es sich, ihr die Gerichtskosten aufzuerlegen ( Art. 66 Abs. 1 BGG ) und sie zur Bezahlung einer Parteientschädigung zu verpflichten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