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236/2010 vom 10. Januar 2011</w:t>
      </w:r>
    </w:p>
    <w:p>
      <w:r>
        <w:t>Bundesgericht, 2011-01-10, FR</w:t>
      </w:r>
    </w:p>
    <w:p>
      <w:r>
        <w:rPr>
          <w:b/>
        </w:rPr>
        <w:t xml:space="preserve">Quelle: </w:t>
      </w:r>
      <w:r>
        <w:t>https://mcp.opencaselaw.ch/entscheid/bger_9C_236_2010</w:t>
      </w:r>
    </w:p>
    <w:p>
      <w:r>
        <w:t>FR: TF 9C 236/2010 du 10 janvier 2011</w:t>
      </w:r>
    </w:p>
    <w:p>
      <w:r>
        <w:t>IT: TF 9C 236/2010 del 10 gennaio 2011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w:t>
      </w:r>
    </w:p>
    <w:p>
      <w:r>
        <w:rPr>
          <w:b/>
        </w:rPr>
        <w:t>E. 2.1</w:t>
      </w:r>
    </w:p>
    <w:p>
      <w:r>
        <w:t>En l'occurrence, la juridiction cantonale a estimé que le versement de la demi-rente devait être maintenu jusqu'à fin octobre 2008 aux motifs essentiels que son jugement du 7 février 2006 commandant la réalisation de mesures complémentaires d'instruction n'avait pas remis en cause le droit à la demi-rente, faute de quoi il se serait agi d'une reformatio in pejus supposant la possibilité pour l'assurée de retirer son recours, que la suppression d'une rente ne pouvait légalement se fonder que sur une décision définitive sur le fond, qui n'était intervenue que le 12 septembre 2008 à l'issue du complément d'instruction ayant mis en évidence l'absence d'atteinte sur les plans neurologique, psychiatrique et ophtalmologique, et que le recours interjeté contre la décision du 24 août 2007 supprimant le versement des prestations impliquait automatiquement la suspension de l'application de ladite décision dans la mesure où celle-ci ne prévoyait pas expressément le retrait de l'effet suspensif à un éventuel recours.</w:t>
      </w:r>
    </w:p>
    <w:p>
      <w:r>
        <w:rPr>
          <w:b/>
        </w:rPr>
        <w:t>E. 2.2</w:t>
      </w:r>
    </w:p>
    <w:p>
      <w:r>
        <w:t>L'office recourant reproche aux premiers juges d'avoir violé le droit fédéral. Il soutient substantiellement que le jugement du 7 février 2006 a purement et simplement annulé la décision du 30 août 2004 allouant une demi-rente et replacé les parties au moment de l'instruction de la demande initiale, de sorte que le versement de prestations ne reposait sur aucun fondement et que les dispositions légales concernant la révision ne trouvaient pas application pour fixer la date à laquelle le droit à la rente devait s'éteindre.</w:t>
      </w:r>
    </w:p>
    <w:p>
      <w:r>
        <w:rPr>
          <w:b/>
        </w:rPr>
        <w:t>E. 3.1</w:t>
      </w:r>
    </w:p>
    <w:p>
      <w:r>
        <w:t>En s'opposant à la décision du 19 mai 2003, l'assurée a manifesté son désaccord avec la solution de l'administration et exprimé sa volonté de voir son droit réexaminé dans le cadre d'un acte administratif sujet à recours. Son opposition a eu comme effet d'empêcher l'entrée en force de chose décidée de la décision mentionnée ( ATF 126 V 23 consid. 4b p. 24 sv.). Au terme de la procédure d'opposition, l'office recourant a rendu une nouvelle décision le 30 août 2004. Celle-ci a remplacé la décision initiale, est devenu l'objet de la contestation de la procédure judiciaire subséquente (arrêt U 3/04 du 8 juin 2005 consid. 2.2, in RAMA 2005 n° U 560 p. 398; Kieser, ATSG-Kommentar, 2e éd., 2009, n° 39 ad art. 52 LPGA ;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de l'état de fait déterminant du point du vue temporel ( ATF 131 V 242 consid. 2.1 p. 243; arrêt 9C_1015/2009 du 20 mai 2010 consid. 3.1). La décision sur opposition du 30 août 2004 a finalement été entièrement annulée par l'autorité de recours (cf. ch. II du dispositif du jugement du 7 février 2006) dans la mesure où les incertitudes diagnostiques ressortant des informations médicales recueillies ne permettaient pas de statuer en toute connaissance de cause, raison pour laquelle il fallait procéder à un complément d'instruction. L'annulation de ladite décision et le renvoi du dossier à l'administration n'ont pas fait renaître la décision initiale mais ont consacré la mise à néant de la procédure administrative qui devait repartir du début (arrêts 9C_6/2010 et 9C_134/2010 du 2 juillet 2010 consid. 4) dans le cadre toutefois des mesures d'instruction requises. Durant la réalisation de celles-ci, l'office recourant a décidé le 24 août 2007 de supprimer le versement de la demi-rente et le 12 septembre 2008 de rejeter la demande de l'intimée. La négation du droit de cette dernière à toute prestation a été fondamentalement confirmée dans le jugement du 27 novembre 2009; seule la question de la date à partir de laquelle le versement de la demi-rente devait être supprimé n'a pas été entérinée.</w:t>
      </w:r>
    </w:p>
    <w:p>
      <w:r>
        <w:rPr>
          <w:b/>
        </w:rPr>
        <w:t>E. 3.2</w:t>
      </w:r>
    </w:p>
    <w:p>
      <w:r>
        <w:t>Il résulte de ce qui précède que la décision du 12 septembre 2008 est une décision initiale qui nie le droit de l'assurée à une rente ou des mesures d'ordre professionnel. Les dispositions légales afférentes à la révision citées par les premiers juges pour déterminer la date à laquelle devait prendre fin le paiement des prestations ( art. 17 LPGA et 88bis RAI) ne peuvent donc être appliquées au cas d'espèce dans la mesure où elles supposent la comparaison des circonstances existant lors de la nouvelle décision avec celles existant au moment de la dernière décision entrée en force, reposant sur un examen matériel du droit ( ATF 133 V 108 ). Il s'ensuit que la suppression de la rente - dont le droit ne s'appuie sur aucun fondement juridique - à partir du premier jour du deuxième mois suivant la notification de la décision du 12 septembre 2008 viole le droit fédéral. Il découle aussi de ce qui précède que la cessation au 31 août 2007 du versement des prestations servies à titre provisionnel, consacrée par la décision du 24 août 2007, est pleinement justifiée dès lors qu'à la lumière de l'instruction menée par l'administration, celles-ci se révélaient indues. La question de leur restitution pour ce qui concerne la période antérieure peut rester ouverte dans la mesure où elle ne fait pas partie de l'objet du litige (Meyer/von Zwehl, op. cit., p. 435 ss). L'acte attaqué doit par conséquent être annulé.</w:t>
      </w:r>
    </w:p>
    <w:p>
      <w:r>
        <w:rPr>
          <w:b/>
        </w:rPr>
        <w:t>E. 4</w:t>
      </w:r>
    </w:p>
    <w:p>
      <w:r>
        <w:t>La procédure de recours en matière de droit public ne connaissant pas l'institution du recours joint (Message du Conseil fédéral concernant la révision totale de l'organisation judiciaire fédérale du 28 février 2001, FF 2001 4000 ss, p. 4139 sv.; ATF 134 III 332 consid. 2.5 p. 335 sv.), le raisonnement de l'assurée portant sur l'appréciation des documents médicaux et les conclusions tendant à l'octroi d'une rente ou au renvoi du dossier aux premiers juges ne sont pas recevables céans.</w:t>
      </w:r>
    </w:p>
    <w:p>
      <w:r>
        <w:rPr>
          <w:b/>
        </w:rPr>
        <w:t>E. 5</w:t>
      </w:r>
    </w:p>
    <w:p>
      <w:r>
        <w:t>L'intimée qui succombe supportera les frais de la procédure ( art. 66 al. 1 LTF ) et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