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9C_236/2009 vom 7. Oktober 2009</w:t>
      </w:r>
    </w:p>
    <w:p>
      <w:r>
        <w:t>Bundesgericht, 2009-10-07, FR</w:t>
      </w:r>
    </w:p>
    <w:p>
      <w:r>
        <w:rPr>
          <w:b/>
        </w:rPr>
        <w:t xml:space="preserve">Quelle: </w:t>
      </w:r>
      <w:r>
        <w:t>https://mcp.opencaselaw.ch/entscheid/bger_9C_236_2009</w:t>
      </w:r>
    </w:p>
    <w:p>
      <w:r>
        <w:t>FR: TF 9C_236/2009 du 7 octobre 2009</w:t>
      </w:r>
    </w:p>
    <w:p>
      <w:r>
        <w:t>IT: TF 9C_236/2009 del 7 ottobre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w:t>
      </w:r>
    </w:p>
    <w:p>
      <w:r>
        <w:t>Le litige porte sur le droit de l'assuré à une rente de l'assurance-invalidité, singulièrement sur le taux d'invalidité à la base de cette prestation.</w:t>
      </w:r>
    </w:p>
    <w:p>
      <w:r>
        <w:rPr>
          <w:b/>
        </w:rPr>
        <w:t>E. 2.1</w:t>
      </w:r>
    </w:p>
    <w:p>
      <w:r>
        <w:t>Dans la mesure où aucun facteur extérieur n'influençait les données comptables versées au dossier, le Tribunal cantonal des assurances sociales a estimé qu'il convenait d'appliquer la méthode générale de comparaison des revenus pour déterminer le degré d'invalidité de l'assuré. Pour ce faire, il a comparé la moyenne des bénéfices d'exploitation réalisés entre les années 2000 et 2002 (86'381 fr.) avec la moyenne de ceux réalisés entre 2004 et 2006 (35'430 fr.), montants dont il convenait de déduire la part relative à la collaboration de l'épouse de l'assuré dans l'entreprise, soit 12'957 fr. entre 2000 et 2002 et 19'435 fr. entre 2004 et 2006. Le taux d'invalidité ainsi obtenu s'élevait à 78,2 %.</w:t>
      </w:r>
    </w:p>
    <w:p>
      <w:r>
        <w:rPr>
          <w:b/>
        </w:rPr>
        <w:t>E. 2.2</w:t>
      </w:r>
    </w:p>
    <w:p>
      <w:r>
        <w:t>L'office recourant fait grief au Tribunal cantonal des assurances sociales d'avoir violé le droit fédéral en omettant de tenir compte dans son analyse de l'obligation de réduire le dommage à laquelle sont astreints tous les assurés. La baisse significative de revenus subie par l'entreprise de l'assuré et, partant, par l'assuré lui-même résulterait de ce que ce dernier n'a pas pris les mesures nécessaires pour réorganiser au mieux son entreprise. En premier lieu, la poursuite d'une activité profitable était soumise à la condition impérative que l'assuré engage un mécanicien expérimenté, à la fois pour encadrer de manière convenable les deux apprentis occupés par l'entreprise et pour générer une activité facturable et des revenus suffisants. En second lieu, il appartenait à l'assuré de reprendre les tâches administratives accomplies par son épouse. De plus, compte tenu de la capacité résiduelle de travail de 50 % dans une activité adaptée, la juridiction cantonale n'aurait pas dû se prononcer sur le droit à la rente sans examiner au préalable si l'assuré, qui reconnaissait lui-même que son entreprise n'était pas viable, avait pris des mesures tendant à sa réadaptation ou à son reclassement.</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 art. 16 LPGA ; depuis le 1er janvier 2008: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w:t>
      </w:r>
    </w:p>
    <w:p>
      <w:r>
        <w:rPr>
          <w:b/>
        </w:rPr>
        <w:t>E. 3.2</w:t>
      </w:r>
    </w:p>
    <w:p>
      <w:r>
        <w:t>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w:t>
      </w:r>
    </w:p>
    <w:p>
      <w:r>
        <w:rPr>
          <w:b/>
        </w:rPr>
        <w:t>E. 3.3</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w:t>
      </w:r>
    </w:p>
    <w:p>
      <w:r>
        <w:rPr>
          <w:b/>
        </w:rPr>
        <w:t>E. 3.4</w:t>
      </w:r>
    </w:p>
    <w:p>
      <w:r>
        <w:t>Le point de savoir selon quelle méthode le degré d'invalidité d'un assuré doit être évalué est une question de droit sur laquelle le Tribunal fédéral se prononce librement. En l'espèce, aussi bien l'office recourant que le Tribunal cantonal des assurances sociales ont considéré qu'il convenait d'appliquer la méthode générale de comparaison des revenus pour déterminer le degré d'invalidité de l'assuré. Au regard des faits retenus par la juridiction cantonale, ce choix ne peut être suivi. Les données comptables de l'entreprise de l'assuré ne sauraient constituer une base valable pour évaluer son incapacité de gain, car elles ne permettent pas de distinguer la part du revenu qui résulte exclusivement de la prestation personnelle de travail de l'assuré de celle qu'il faut attribuer à des facteurs étrangers. En tant que l'assuré a été contraint d'engager un employé qualifié entre les mois d'août 2003 et avril 2006, lequel a contribué de manière prépondérante - sinon exclusive - à la réalisation du chiffre d'affaires de l'entreprise et, partant, de son bénéfice d'exploitation, il n'est pas possible de tirer de ces chiffres une appréciation pertinente des effets sur la capacité personnelle de gain de l'assuré de la diminution de sa capacité de rendement due à l'invalidité. En tout état de cause, l'incapacité de gain de l'assuré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En l'occurrence, seule la procédure extraordinaire d'évaluation de l'invalidité est de nature à permettre, dans le cas particulier, une évaluation conforme au droit fédéral des effets de l'atteinte à la santé sur la capacité de gain de l'assuré. Il convient dès lors d'annuler le jugement attaqué et de renvoyer la cause à l'administration pour qu'elle applique la méthode extraordinaire d'évaluation de l'invalidité.</w:t>
      </w:r>
    </w:p>
    <w:p>
      <w:r>
        <w:rPr>
          <w:b/>
        </w:rPr>
        <w:t>E. 4</w:t>
      </w:r>
    </w:p>
    <w:p>
      <w:r>
        <w:t>Quand bien même le recours doit être admis pour les motifs qui précèdent, le principe de l'économie de la procédure impose d'examiner la question de savoir si l'assuré a mis en oeuvre au cours de la procédure tout ce qui était raisonnablement exigible de sa part pour diminuer son dommage, ce que conteste l'office recourant.</w:t>
      </w:r>
    </w:p>
    <w:p>
      <w:r>
        <w:rPr>
          <w:b/>
        </w:rPr>
        <w:t>E. 4.1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w:t>
      </w:r>
    </w:p>
    <w:p>
      <w:r>
        <w:rPr>
          <w:b/>
        </w:rPr>
        <w:t>E. 4.2</w:t>
      </w:r>
    </w:p>
    <w:p>
      <w:r>
        <w:t>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 ATF 113 V 22 consid. 4d p. 32; MARC HÜRZELER, Prävention im Haftpflicht- und Sozialversicherungsrecht, in Prävention im Recht, 2007, p. 172 sv.).</w:t>
      </w:r>
    </w:p>
    <w:p>
      <w:r>
        <w:rPr>
          <w:b/>
        </w:rPr>
        <w:t>E. 4.3</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w:t>
      </w:r>
    </w:p>
    <w:p>
      <w:r>
        <w:rPr>
          <w:b/>
        </w:rPr>
        <w:t>E. 4.4</w:t>
      </w:r>
    </w:p>
    <w:p>
      <w:r>
        <w:t>L'office recourant et l'OFAS estiment que l'on peut raisonnablement exiger d'un assuré de condition indépendante, au titre de son obligation de réduire le dommage, qu'il engage un employé dans le but d'améliorer le bénéfice d'exploitation de son entreprise et, indirectement, son revenu.</w:t>
      </w:r>
    </w:p>
    <w:p>
      <w:r>
        <w:rPr>
          <w:b/>
        </w:rPr>
        <w:t>E. 4.4.1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 (Message du 22 juin 2005 concernant la modification de la loi fédérale sur l'assurance-invalidité [5e révision de l'AI], FF 2005 4223, n. 1.1.1.2). L'examen d'un éventuel droit à des prestations de l'assurance-invalidité doit par conséquent procéder d'une démarche inquisitive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w:t>
      </w:r>
    </w:p>
    <w:p>
      <w:r>
        <w:rPr>
          <w:b/>
        </w:rPr>
        <w:t>E. 4.4.2</w:t>
      </w:r>
    </w:p>
    <w:p>
      <w:r>
        <w:t>Dans le cas d'espèce, on ne voit guère en quoi la mesure préconisée par l'office recourant et l'OFAS permettrait d'améliorer ou de développer l'aptitude à travailler de l'assuré. L'office recourant et l'OFAS ont à cet égard perdu de vue la situation individuelle et personnelle de l'assuré pour la confondre avec celle de son entreprise. En effet, le moyen en cause vise avant tout à stimuler la rentabilité économique de l'entreprise de l'assuré, tâche qui ne fait manifestement pas partie des attributions des organes de l'assurance-invalidité. Une telle mesure ne sert pas les objectifs assignés à l'assurance-invalidité et, partant, ne saurait entrer dans le catalogue des mesures que les organes d'exécution de cette assurance peuvent raisonnablement exiger de la part d'une personne assurée au titre de son obligation de réduire le dommage. Qui plus est, la jurisprudence a clairement posé qu'il convenait de faire abstraction d'un facteur tel que celui de l'aide des collaborateurs pour évaluer la diminution de la capacité de gain d'un assuré de condition indépendante (cf. supra consid. 3.3). Au surplus, on peut s'interroger - sans trancher définitivement cette question - sur le point de savoir si la mesure exigée ne constitue pas une forme d'ingérence illicite de la part de l'administration dans l'exercice de la liberté économique de l'assuré ( art. 27 Cst. ).</w:t>
      </w:r>
    </w:p>
    <w:p>
      <w:r>
        <w:rPr>
          <w:b/>
        </w:rPr>
        <w:t>E. 4.5</w:t>
      </w:r>
    </w:p>
    <w:p>
      <w:r>
        <w:t>En revanche, en tant que l'office recourant reproche à la juridiction cantonale de n'avoir pas examiné la question de savoir si l'assuré avait pris des mesures tendant à son reclassement, le grief doit être admis. Ainsi qu'on l'a vu précédemment, un changement d'activité professionnelle peut d'après les circonstances être considéré comme raisonnablement exigible, si on doit s'attendre à une diminution importante du dommage (cf. supra consid. 4.3). Or, force est de constater que ni la juridiction cantonale ni d'ailleurs l'office recourant n'ont porté le moindre intérêt à cette question, alors même que de jurisprudence constante, la réadaptation par soi-même et le droit à des mesures de réadaptation priment celui à une rente. Un tel examen se justifiait d'autant plus que l'assuré avait reconnu au cours de la procédure que son entreprise n'était, à terme, plus viable économiquement. Cet oubli est constitutif d'une violation du droit fédéral et doit être sanctionné.</w:t>
      </w:r>
    </w:p>
    <w:p>
      <w:r>
        <w:rPr>
          <w:b/>
        </w:rPr>
        <w:t>E. 5</w:t>
      </w:r>
    </w:p>
    <w:p>
      <w:r>
        <w:t>Sur le vu de ce qui précède, il convient de renvoyer la cause à l'office recourant pour qu'il procède à une nouvelle instruction au sens des considérants. Il lui appartiendra notamment d'examiner si l'assuré peut mettre en valeur sa capacité résiduelle de travail, au sein et en dehors de l'entreprise, dans une activité adaptée à ses limitations fonctionnelles et, le cas échéant, d'apprécier dans quelle mesure un changement d'activité professionnelle serait raisonnablement exigible au vu de l'ensemble des circonstances objectives et subjectives du cas d'espèce.</w:t>
      </w:r>
    </w:p>
    <w:p>
      <w:r>
        <w:rPr>
          <w:b/>
        </w:rPr>
        <w:t>E. 6</w:t>
      </w:r>
    </w:p>
    <w:p>
      <w:r>
        <w:t>Vu l'issue du litige, l'intimé qui succombe supportera les frais de justice afférents à la présence procédure (art. 66 al. 1 première phrase en relation avec l' art. 65 al. 4 let. a LTF ), sans qu'il ait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