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9C_235/2020 vom 8. Juli 2020</w:t>
      </w:r>
    </w:p>
    <w:p>
      <w:r>
        <w:t>Bundesgericht, 2020-07-08, DE</w:t>
      </w:r>
    </w:p>
    <w:p>
      <w:r>
        <w:rPr>
          <w:b/>
        </w:rPr>
        <w:t xml:space="preserve">Quelle: </w:t>
      </w:r>
      <w:r>
        <w:t>https://mcp.opencaselaw.ch/entscheid/bger_9C_235_2020</w:t>
      </w:r>
    </w:p>
    <w:p>
      <w:r>
        <w:t>FR: TF 9C_235/2020 du 8 juillet 2020</w:t>
      </w:r>
    </w:p>
    <w:p>
      <w:r>
        <w:t>IT: TF 9C_235/2020 del 8 luglio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Mit Blick auf die Neuanmeldung vom November 2014 hat die Vorinstanz den massgebenden Referenzzeitpunkt für die Frage nach einer wesentlichen Veränderung gemäss - dem analog anwendbaren - Art. 17 Abs. 1 ATSG (vgl. BGE 130 V 71 E. 3.1 S. 73) auf die Verfügungen vom 27. Juli 2005 und 26. Juni 2006 respektive den Einspracheentscheid vom 16. November 2006 festgelegt. Nicht als Vergleichszeitpunkt angesehen werden könne dagegen die Verfügung vom 19. Mai 2011, da die Leistungseinstellung allein auf der Annahme beruht habe, der Beschwerdegegner könne ein rentenausschliessendes Einkommen erzielen und eine medizinische Sachverhaltsabklärung nicht vorgenommen worden sei. Das kantonale Gericht hat festgestellt, dass es sich bei der beweiskräftigen Beurteilung der Medaffairs AG um eine andere Beurteilung des gleichen Sachverhalts im Vergleich zur Expertise der ZMB aus dem Jahre 2004 handle. Es sei deshalb weiterhin von der im ZMB-Gutachten attestierten Restarbeitsfähigkeit von 60 % in leidensangepasster Tätigkeit auszugehen. Gestützt hierauf hat es unter Bejahung der Verwertbarkeit der Restarbeitsfähigkeit den Anspruch auf eine Viertelsrente ab 1. Mai 2015 ermittelt.</w:t>
      </w:r>
    </w:p>
    <w:p>
      <w:r>
        <w:rPr>
          <w:b/>
        </w:rPr>
        <w:t>E. 2.2</w:t>
      </w:r>
    </w:p>
    <w:p>
      <w:r>
        <w:t>Gemäss dem Antrag und der Begründung der Beschwerde ist einzig strittig und damit zu prüfen, ob die Vorinstanz Bundesrecht verletzt hat, indem sie die Verfügung vom 19. Mai 2011 nicht als massgebenden Vergleichszeitpunkt für die Frage nach einer Veränderung gemäss Art. 17 Abs. 1 ATSG herangezogen hat. Ist der angefochtene Entscheid diesbezüglich bundesrechtskonform, besteht ab 1. Mai 2015 Anspruch auf eine Viertelsrente, was nicht weiter bestritten wird.</w:t>
      </w:r>
    </w:p>
    <w:p>
      <w:r>
        <w:rPr>
          <w:b/>
        </w:rPr>
        <w:t>E. 3.1</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134 V 131 E. 3 S. 132 f.; 133 V 108 E. 5.4 S. 114).</w:t>
      </w:r>
    </w:p>
    <w:p>
      <w:r>
        <w:t>Unter einer Sachverhaltsabklärung im Sinne von BGE 133 V 108 muss eine Abklärung verstanden werden, die - wenn sie inhaltlich zu einem anderen Ergebnis führt - geeignet ist, eine Rentenerhöhung, -herabsetzung oder -aufhebung zu begründen (Urteil 8C_441/2012 vom 25. Juli 2013 E. 6.2). Die letztmalige materielle Beurteilung des Rentenanspruchs hat sodann denjenigen anspruchserheblichen Aspekt zu umfassen, auf dessen (behauptete) Veränderung sich die Neuanmeldung stützt. Waren für die letzte rechtskräftige Verfügung allein erwerbliche Gesichtspunkte wegleitend, dient somit zur Klärung der Frage nach einer anspruchserheblichen gesundheitlich bedingten Änderung des Invaliditätsgrades der nächstfrühere Entscheid mit entsprechenden Sachverhaltsfeststellungen als Vergleichsbasis (vgl. SVR 2010 IV Nr. 54 S. 167, 9C_899/ 2009 E. 2.1).</w:t>
      </w:r>
    </w:p>
    <w:p>
      <w:r>
        <w:rPr>
          <w:b/>
        </w:rPr>
        <w:t>E. 3.2</w:t>
      </w:r>
    </w:p>
    <w:p>
      <w:r>
        <w:t>Der Verfügung vom 19. Mai 2011 lagen unbestritten einzig erwerbliche Gesichtspunkte zugrunde. Die Neuanmeldung vom November 2014 stützte sich dagegen - mit dem Hinweis auf den erlittenen Unfall - auf eine Veränderung des Gesundheitszustandes. Mit Blick auf die dargelegte Rechtsprechung hat die Vorinstanz daher kein Bundesrecht verletzt, indem sie die Verfügung vom 19. Mai 2011 nicht als massgebende Vergleichsbasis herangezogen hat. Die Beschwerde ist unbegründet.</w:t>
      </w:r>
    </w:p>
    <w:p>
      <w:r>
        <w:rPr>
          <w:b/>
        </w:rPr>
        <w:t>E. 4</w:t>
      </w:r>
    </w:p>
    <w:p>
      <w:r>
        <w:t>Mit dem Urteil in der Sache wird das Gesuch um Gewährung der aufschiebenden Wirkung gegenstandslos.</w:t>
      </w:r>
    </w:p>
    <w:p>
      <w:r>
        <w:rPr>
          <w:b/>
        </w:rPr>
        <w:t>E. 5</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