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9C_235/2013 vom 10. September 2013</w:t>
      </w:r>
    </w:p>
    <w:p>
      <w:r>
        <w:t>Bundesgericht, 2013-09-10, DE</w:t>
      </w:r>
    </w:p>
    <w:p>
      <w:r>
        <w:rPr>
          <w:b/>
        </w:rPr>
        <w:t xml:space="preserve">Quelle: </w:t>
      </w:r>
      <w:r>
        <w:t>https://mcp.opencaselaw.ch/entscheid/bger_9C_235_2013</w:t>
      </w:r>
    </w:p>
    <w:p>
      <w:r>
        <w:t>FR: TF 9C_235/2013 du 10 septembre 2013</w:t>
      </w:r>
    </w:p>
    <w:p>
      <w:r>
        <w:t>IT: TF 9C_235/2013 del 10 settembre 2013</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Die Bereitstellung der medizinischen Entscheidungsgrundlage ist nach Art. 43 Abs. 1 ATSG in erster Linie Sache des Sozialversicherungsträgers. Er befindet darüber, mit welchen Mitteln er den rechtserheblichen Sachverhalt abklärt. Beim Entscheid, ob aufgrund der vorhandenen Akten bereits eine rechtsgenügliche Beurteilung vorgenommen werden kann oder eine zusätzliche Abklärung angezeigt ist, ebenso wie bei der Wahl der Art der Abklärung steht der Verwaltung ein Ermessensspielraum zu (vgl. Urteil 9C_28/2010 vom 12. März 2010 E. 4.1; 8C_733/2010 vom 10. Dezember 2010 E. 5.2; vgl. auch Ulrich Meyer-Blaser, Das medizinische Gutachten aus sozialrechtlicher Sicht, in: Adrian M. Siegel/Daniel Fischer [Hrsg.], Die neurologische Begutachtung, Schweizerisches medico-legales Handbuch, Bd. 1. 2004, S. 105). In diesen greifen die Gerichte ohne triftigen Grund nicht ein (vgl. dazu Urteil 9C_28/2010 vom 12. März 2010 E. 4.1; vgl. auch Urteil 9C_215/2011 vom 30. Mai 2011 E. 3).</w:t>
      </w:r>
    </w:p>
    <w:p>
      <w:r>
        <w:rPr>
          <w:b/>
        </w:rPr>
        <w:t>E. 3.1</w:t>
      </w:r>
    </w:p>
    <w:p>
      <w:r>
        <w:t>Im angefochtenen Entscheid wird einlässlich begründet, weshalb eine grundsätzlich beweistaugliche ( BGE 136 V 376 E. 4 S. 377 ff.) polydisziplinäre Begutachtung in der Rehaklinik X.________ unentbehrlich ist. Wenn das kantonale Gericht nach sorgfältiger Würdigung der Aktenlage das Vorgehen der IV-Stelle schützte, eine polydisziplinäre Begutachtung in der Schweiz anzuordnen, verletzte es kein Bundesrecht (vgl. E. 1) :</w:t>
      </w:r>
    </w:p>
    <w:p>
      <w:r>
        <w:rPr>
          <w:b/>
        </w:rPr>
        <w:t>E. 3.2</w:t>
      </w:r>
    </w:p>
    <w:p>
      <w:r>
        <w:t>Zu Unrecht äussert der Beschwerdeführer vorab Zweifel an der Notwendigkeit einer</w:t>
      </w:r>
    </w:p>
    <w:p>
      <w:r>
        <w:t>polydisziplinären Begutachtung unter Hinweis darauf, dass er der IV-Stelle im Juni 2011 umfangreiche medizinische Akten (Arztberichte renommierter Ärzte, Bilder und Berichte von MRI-Untersuchungen, Röntgenbilder etc.) eingereicht habe. Denn im hier zu beurteilenden Fall ist es - was im Übrigen allgemein gilt bei Versicherten mit länger dauernden Beschwerden nach einem Schleudertrauma der HWS und/oder mit gesundheitlichen Beeinträchtigungen physischer und psychischer Art - unabdingbar, physische und psychische Beeinträchtigungen nicht isoliert, sondern interdisziplinär beurteilen zu lassen (vgl. BGE 137 I 327 E. 7.3 S. 338; Urteil 8C_168/2008 vom 11. August 2008 E. 6.2.2; 8C_189/2008 vom 4. Juli 2008 E. 5; vgl. auch Urteil 8C_733/2010 vom 10. Dezember 2010 E. 5.2).</w:t>
      </w:r>
    </w:p>
    <w:p>
      <w:r>
        <w:t>Entgegen der Auffassung des Beschwerdeführers ist sodann nicht zu beanstanden, dass die IV-Stelle die Begutachtung</w:t>
      </w:r>
    </w:p>
    <w:p>
      <w:r>
        <w:t>in der Schweiz anordnete, zumal kein Rechtsanspruch auf eine Begutachtung im Ausland besteht (Urteil des Eidg. Versicherungsgerichts I 172/02 vom 7. Februar 2003 E. 4.5; ZAK 1978 S. 255 und 1976 S. 98), ebenso wenig wie es im Übrigen einen Rechtsanspruch auf eine Begutachtung in der Schweiz gibt (vgl. Urteil 9C_952/2011 vom 7. November 2012 E. 2.4; 9C_573/2012 vom 16. Januar 2013 E. 5.1 [für in einem EU-/EFTA-Staat wohnhafte Versicherte]). Vielmehr ist in jedem Einzelfall zu bestimmen, welches Mittel geeignet ist, den rechtserheblichen medizinischen Sachverhalt festzustellen (vgl. Urteil 9C_952/2011 vom 7. November 2012 E. 2.4 am Ende). Unbehelflich ist das Vorbringen des Beschwerdeführers, in Brasilien gäbe es Ärzte und Spitäler, die mit den in der Schweiz geltenden Standards mithalten könnten. Denn entscheidend ist, dass es (nach den verbindlichen, insoweit unbestrittenen Feststellungen im angefochtenen Entscheid) in Brasilien an einer mit den Grundsätzen der schweizerischen Versicherungsmedizin vertrauten und in diesem Sinne gleichwertigen Abklärungsstelle fehlt. Aus diesem Grunde rechtfertigt es sich, den Versicherten in der Schweiz begutachten zu lassen.</w:t>
      </w:r>
    </w:p>
    <w:p>
      <w:r>
        <w:t>Nicht zu beanstanden ist schliesslich auch, dass Vorinstanz und IV-Stelle die dem Beschwerdeführer bei der Einreise in der Schweiz - aufgrund der nach seinen Angaben durch IV-Stelle und Mobiliar eingereichten Anzeige wegen Versicherungsbetrugs - drohende Verhaftung nicht als Rechtfertigungsgrund für die Verweigerung der Mitwirkung (vgl. Art. 43 Abs. 3 ATSG ) betrachtet haben. Anders als eine versicherte Person, welche aufgrund ihres Gesundheitszustandes (vorübergehend) nicht in der Lage ist, ihren Mitwirkungspflichten nachzukommen (so dass ihr die Verweigerung der Mitwirkung nicht zugerechnet werden kann, was sie entschuldbar macht; vgl. Urteil 9C_994/2009 vom 22. März 2010 E. 5.2; 8C_733/2010 vom 10. Dezember 2010 E. 5.3; Urs Müller, Das Verwaltungsverfahren in der Invalidenversicherung, 2010, S. 233 Rz. 1217), hätte sich der Beschwerdeführer der Begutachtung unterziehen können. Dass die Einreise in die Schweiz für ihn unter Umständen unangenehme Folgen gehabt hätte, ist iv-rechtlich nicht relevant.</w:t>
      </w:r>
    </w:p>
    <w:p>
      <w:r>
        <w:rPr>
          <w:b/>
        </w:rPr>
        <w:t>E. 3.3</w:t>
      </w:r>
    </w:p>
    <w:p>
      <w:r>
        <w:t>Bei dieser Sachlage steht fest, dass sich der Versicherte einer ihm im Sinne des Art. 43 Abs. 2 ATSG zumutbaren Begutachtung in der Schweiz nicht unterzogen hat. Dies hat zur Folge, dass die IV-Stelle - nach durchgeführtem Mahn- und Bedenkzeitverfahren - berechtigt war, aufgrund der Akten zu entscheiden ( Art. 43 Abs. 3 ATSG ), wie die Vorinstanz zutreffend erkannt hat.</w:t>
      </w:r>
    </w:p>
    <w:p>
      <w:r>
        <w:rPr>
          <w:b/>
        </w:rPr>
        <w:t>E. 4</w:t>
      </w:r>
    </w:p>
    <w:p>
      <w:r>
        <w:t>Entsprechend dem Ausgang des Verfahrens hat der Beschwerdeführer die Gerichtskosten zu tragen ( Art. 66 Abs. 1 BGG ). Seinem Gesuch um unentgeltliche Rechtspflege (Prozessführung und Verbeiständung; Art. 64 Abs. 1 und Abs. 2 BGG ) kann entsprochen werden, weil die Bedürftigkeit ausgewiesen ist, die Beschwerde nicht als aussichtslos zu bezeichnen und die Vertretung durch einen Rechtsanwalt geboten war ( BGE 125 V 201 E. 4a S. 202).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