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9C_234/2024 vom 12. August 2024</w:t>
      </w:r>
    </w:p>
    <w:p>
      <w:r>
        <w:t>Bundesgericht, 2024-08-12, DE</w:t>
      </w:r>
    </w:p>
    <w:p>
      <w:r>
        <w:rPr>
          <w:b/>
        </w:rPr>
        <w:t xml:space="preserve">Quelle: </w:t>
      </w:r>
      <w:r>
        <w:t>https://mcp.opencaselaw.ch/entscheid/bger_9C_234_2024</w:t>
      </w:r>
    </w:p>
    <w:p>
      <w:r>
        <w:t>FR: TF 9C_234/2024 du 12 août 2024</w:t>
      </w:r>
    </w:p>
    <w:p>
      <w:r>
        <w:t>IT: TF 9C_234/2024 del 12 agosto 2024</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9C_344/2020 vom 22. Februar 2021 E. 1.2). Es genügt, wenn der Beschwerde insgesamt entnommen werden kann, was die beschwerdeführende Person verlangt (Urteil 9C_8/2022 vom 6. März 2023 E. 1.1 mit Hinweisen).</w:t>
      </w:r>
    </w:p>
    <w:p>
      <w:r>
        <w:rPr>
          <w:b/>
        </w:rPr>
        <w:t>E. 1.2</w:t>
      </w:r>
    </w:p>
    <w:p>
      <w:r>
        <w:t>Der Beschwerdeführer stellt einen grundsätzlich unzulässigen rein kassatorischen Antrag. Aus dem Gesamtzusammenhang der Begründung ergibt sich jedoch, dass er letztlich eine Steuerbefreiung wegen Gemeinnützigkeit verlangt, wozu er gemäss Art. 89 Abs. 1 BGG ohne weiteres legitimiert ist. Die Beschwerde wurde fristgerecht ( Art. 100 Abs. 1 BGG ) eingereicht und richtet sich gegen einen Endentscheid einer letzten kantonalen Instanz in einer Angelegenheit des öffentlichen Rechts ( Art. 82 lit. a, Art. 86 Abs. 1 lit. d und Art. 90 BGG ). Weiter ist kein Ausschlussgrund nach Art. 83 BGG gegeben, insbesondere handelt es sich bei der streitigen Steuerbefreiung weder um eine Subvention im Sinne von Art. 83 lit. k BGG noch um einen Erlass von Abgaben im Sinne von Art. 83 lit. m BGG .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die Vorinstanz Bundesrecht verletzte, als es die Gemeinnützigkeit des Beschwerdeführers verneinte und damit die Aufhebung der Steuerbefreiung bestätigte.</w:t>
      </w:r>
    </w:p>
    <w:p>
      <w:r>
        <w:rPr>
          <w:b/>
        </w:rPr>
        <w:t>E. 3.2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Urteil 2C_480/2016 vom 12. Januar 2017 E. 1.1, in: StE 2017 B 27.5 Nr. 21).</w:t>
      </w:r>
    </w:p>
    <w:p>
      <w:r>
        <w:rPr>
          <w:b/>
        </w:rPr>
        <w:t>E. 4.1</w:t>
      </w:r>
    </w:p>
    <w:p>
      <w:r>
        <w:t>Gemäss Art. 56 lit. g DBG (SR 642.11) und Art. 83 Abs. 1 lit. g des Steuergesetzes des Kantons Bern vom 21. Mai 2000 (BSG 661.11; vgl. auch Art. 23 Abs. 1 lit. f StHG [SR 642.14]) sind von der Steuerpflicht befreit juristische Personen, die öffentliche oder gemeinnützige Zwecke verfolgen, für den Gewinn und für das Kapital, die ausschliesslich und unwiderruflich diesen Zwecken gewidmet sind. Unternehmerische Zwecke sind grundsätzlich nicht gemeinnützig.</w:t>
      </w:r>
    </w:p>
    <w:p>
      <w:r>
        <w:rPr>
          <w:b/>
        </w:rPr>
        <w:t>E. 4.2</w:t>
      </w:r>
    </w:p>
    <w:p>
      <w:r>
        <w:t>Eine Steuerbefreitung wegen Gemeinnützigkeit setzt voraus, dass die Tätigkeit im Interesse der Allgemeinheit liegt und uneigennützig erfolgt. Daraus folgt unter anderem, dass der Kreis der Destinatäre, denen die Förderung oder Unterstützung zukommt, grundsätzlich offen sein muss ( BGE 147 II 287 E. 5.2). Bei Privatschulen, deren Besuch nicht kostenlos ist, hängt die Frage, ob noch von einem offenen Destinatärkreis ausgegangen werden kann, unter anderem davon ab, ob das erhobene Schulgeld effektiv für weite Bevölkerungskreise erschwinglich ist (vgl. BGE 146 II 359 E. 6).</w:t>
      </w:r>
    </w:p>
    <w:p>
      <w:r>
        <w:rPr>
          <w:b/>
        </w:rPr>
        <w:t>E. 5.1</w:t>
      </w:r>
    </w:p>
    <w:p>
      <w:r>
        <w:t>Gemäss den Feststellungen des kantonalen Gerichts erhob der Beschwerdeführer im Schuljahr 2017/18 für die Unter- und Mittelstufe ein Schulgeld von mindestens Fr. 695.- pro Monat. Abhängig vom steuerbaren Einkommen (plus 0.75 % des Einkommens über Fr. 15'000.-) und vom steuerbaren Vermögen (plus 0.1 % des Vermögens über Fr. 100'000.-) der Eltern stieg dieses bis zum Maximaltarif von monatlich Fr. 1'335.- an. Für das zweite Kind reduzierte sich dieser Betrag um 25 %, für das dritte Kind um 75 %. Daneben bestand ein Unterstützungsfonds, aus welchem in begründeten Fällen ein Betrag von Fr. 150.- an das Schulgeld bezahlt wurden. Für die Oberstufe bestand ein höherer Tarif. Ausgehend von dieser Schulgeldordnung nahm die Vorinstanz verschiedene Berechnungen hypothetischer Familien mit unterschiedlichem Einkommen vor. Gestützt auf diese Berechnungen kam sie zum Schluss, dass der Besuch der Unter- und Mittelstufe des Beschwerdeführers für Familien mit einem durchschnittlichen Einkommen wohl mit finanziellen Einschränkungen verbunden, aber zumindest für ein Kind erschwinglich sein dürfte. Die Beschulung zweier Kinder durch den Beschwerdeführer dürfte das Familienbudget erheblich belasten und kaum mehr tragbar sein. Jedenfalls für Familien mit einem Einkommen unter dem Durchschnitt und insbesondere für einkommensschwächere Familie sei das Schulgeld bereits für ein Kind nicht mehr bezahlbar. Ein Besuch der Oberstufe führe zu noch weitergehenderen finanziellen Einschränkungen für die Familien. Damit sei der Destinatärskreis im Ergebnis zu wenig offen, weshalb eine Steuerbefreiung wegen Gemeinnützigkeit nicht in Frage komme.</w:t>
      </w:r>
    </w:p>
    <w:p>
      <w:r>
        <w:rPr>
          <w:b/>
        </w:rPr>
        <w:t>E. 5.2</w:t>
      </w:r>
    </w:p>
    <w:p>
      <w:r>
        <w:t>Der Beschwerdeführer bringt hiergegen in erster Linie vor, das Verwaltungsgericht habe zu Unrecht das steuerbare mit dem verfügbaren Einkommen gleichgesetzt. Hierzu ist zunächst festzuhalten, dass sich auch die Vorinstanz bewusst war, dass diese beiden Werte aufgrund der unterschiedlichen Abzüge nicht mathematisch exakt identisch sind. Geht man mit dem Beschwerdeführer davon aus, dass das steuerbare Einkommen tendenziell tiefer als das verfügbare Einkommen ist, so folgt daraus, dass die Vorinstanz die Höhe des Schulgeldes für Familien, welche mehr als den Mindestansatz bezahlen, überschätzt hat. Da jedoch selbst eine Differenz beim steuerbaren Einkommen von Fr. 10'000.- lediglich zu einer Änderung des monatlichen Schulgeldes (für das erste Kind) von Fr. 75.- führt (vgl. E. 5.1 hiervor), vermag die geltend gemachte Rechenungenauigkeit nicht dazu zu führen, dass die Grundaussage des Verwaltungsgericht (mit einem durchschnittlichen Einkommen könne sich eine Familie höchstens die Beschulung eines Kindes leisten, während für unterdurchschnittliche Einkommen der Schulbesuch nicht erschwinglich sei) als offensichtlich unrichtig erscheinen würde. Dies gilt umso mehr, als das Verwaltungsgericht in seinen Berechnungen von sehr moderaten Wohnkosten (so wurde etwa eine Miete von lediglich Fr. 1'700.- für eine vierköpfige Familie mit einem verfügbaren Einkommen von Fr. 9'000.- eingesetzt) ausging.</w:t>
      </w:r>
    </w:p>
    <w:p>
      <w:r>
        <w:rPr>
          <w:b/>
        </w:rPr>
        <w:t>E. 5.3</w:t>
      </w:r>
    </w:p>
    <w:p>
      <w:r>
        <w:t>Sind demnach die Schulkosten für einen nicht zu vernachlässigenden Teil der Bevölkerung nicht erschwinglich, so hat die Vorinstanz kein Bundesrecht verletzt, als es die Gemeinnützigkeit des Beschwerdeführers verneint hat. Daran vermag weder der Umstand, dass einzelnen Kinder aus einkommensschwachen Familien aufgrund privater Geldgeber in der weiteren Familie trotzdem der Schulbesuch möglich ist, noch die Tatsache, dass andere Privatschulen - welche indessen ebenfalls nicht als gemeinnützig anerkannt sind - bedeutend höhere Schulgelder als der Beschwerdeführer verlangen, etwas zu ändern. Demnach ist die Beschwerde abzuweisen.</w:t>
      </w:r>
    </w:p>
    <w:p>
      <w:r>
        <w:rPr>
          <w:b/>
        </w:rPr>
        <w:t>E. 6</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