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9C_234/2019 vom 30. April 2019</w:t>
      </w:r>
    </w:p>
    <w:p>
      <w:r>
        <w:t>Bundesgericht, 2019-04-30, DE</w:t>
      </w:r>
    </w:p>
    <w:p>
      <w:r>
        <w:rPr>
          <w:b/>
        </w:rPr>
        <w:t xml:space="preserve">Quelle: </w:t>
      </w:r>
      <w:r>
        <w:t>https://mcp.opencaselaw.ch/entscheid/bger_9C_234_2019</w:t>
      </w:r>
    </w:p>
    <w:p>
      <w:r>
        <w:t>FR: TF 9C_234/2019 du 30 avril 2019</w:t>
      </w:r>
    </w:p>
    <w:p>
      <w:r>
        <w:t>IT: TF 9C_234/2019 del 30 aprile 2019</w:t>
      </w:r>
    </w:p>
    <w:p>
      <w:pPr>
        <w:pStyle w:val="Heading2"/>
      </w:pPr>
      <w:r>
        <w:t>Volltext</w:t>
      </w:r>
    </w:p>
    <w:p>
      <w:r>
        <w:t>Bundesgericht</w:t>
      </w:r>
    </w:p>
    <w:p>
      <w:r>
        <w:t>Tribunal fédéral</w:t>
      </w:r>
    </w:p>
    <w:p>
      <w:r>
        <w:t>Tribunale federale</w:t>
      </w:r>
    </w:p>
    <w:p>
      <w:r>
        <w:t>Tribunal federal</w:t>
      </w:r>
    </w:p>
    <w:p>
      <w:r>
        <w:t>9C_234/2019</w:t>
      </w:r>
    </w:p>
    <w:p>
      <w:r>
        <w:t>Urteil vom 30. April 2019</w:t>
      </w:r>
    </w:p>
    <w:p>
      <w:r>
        <w:t>II. sozialrechtliche Abteilung</w:t>
      </w:r>
    </w:p>
    <w:p>
      <w:r>
        <w:t>Besetzung</w:t>
      </w:r>
    </w:p>
    <w:p>
      <w:r>
        <w:t>Bundesrichterin Pfiffner, Präsidentin,</w:t>
      </w:r>
    </w:p>
    <w:p>
      <w:r>
        <w:t>Gerichtsschreiberin Stanger.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4. Februar 2019 (IV.2018.01026).</w:t>
      </w:r>
    </w:p>
    <w:p>
      <w:r>
        <w:t>Nach Einsicht</w:t>
      </w:r>
    </w:p>
    <w:p>
      <w:r>
        <w:t>in die Beschwerde vom 25. März 2019 (Poststempel) gegen den Entscheid des Sozialversicherungsgerichts des Kantons Zürich vom 4. Februar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60und 133 IV 286 E. 1.4 S. 287),</w:t>
      </w:r>
    </w:p>
    <w:p>
      <w:r>
        <w:t>dass die Eingabe des Versicherten vom 25. März 2019 diesen inhaltlichen Mindestanforderungen offensichtlich nicht genügt, da den Ausführungen auch nicht ansatzweise entnommen werden kann, inwiefern die vorinstanzliche Sachverhaltsfeststellung im Sinne von Art. 97 Abs. 1 BGG unzutreffend und die darauf beruhenden Erwägungen rechtsfehlerhaft (vgl. Art. 95 BGG ) sein sollen,</w:t>
      </w:r>
    </w:p>
    <w:p>
      <w:r>
        <w:t>dass an der unzureichenden Beschwerdebegründung auch die vor Bundesgericht eingereichten Berichte des Spitals B.________, soweit es sich dabei nicht ohnehin um unzulässige Noven im Sinne von Art. 99 Abs. 1 BGG handelt, nichts zu ändern vermögen,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April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