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9C_234/2010 vom 7. September 2010</w:t>
      </w:r>
    </w:p>
    <w:p>
      <w:r>
        <w:t>Bundesgericht, 2010-09-07, FR</w:t>
      </w:r>
    </w:p>
    <w:p>
      <w:r>
        <w:rPr>
          <w:b/>
        </w:rPr>
        <w:t xml:space="preserve">Quelle: </w:t>
      </w:r>
      <w:r>
        <w:t>https://mcp.opencaselaw.ch/entscheid/bger_9C_234_2010</w:t>
      </w:r>
    </w:p>
    <w:p>
      <w:r>
        <w:t>FR: TF 9C_234/2010 du 7 septembre 2010</w:t>
      </w:r>
    </w:p>
    <w:p>
      <w:r>
        <w:t>IT: TF 9C_234/2010 del 7 settembre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juridiction cantonale a considéré que le degré d'invalidité global présenté par l'assurée donnait droit à un quart de rente d'invalidité. En effet, si l'assurée avait été en bonne santé, elle aurait consacré 80 % de son temps à l'exercice de son activité professionnelle et le reste à l'accomplissement de ses travaux habituels. Les derniers renseignements médicaux versés au dossier indiquaient que la capacité résiduelle de travail de l'assurée était de 50 % plutôt que de 60 % (rapport du docteur N.________ du 25 juin 2009). Compte tenu également d'une entrave de 25,9 % dans l'accomplissement des travaux habituels, on parvenait à un taux d'invalidité global de 45 % ([0,8 x 50 %] + [0,2 x 25,9 %]).</w:t>
      </w:r>
    </w:p>
    <w:p>
      <w:r>
        <w:rPr>
          <w:b/>
        </w:rPr>
        <w:t>E. 3.1</w:t>
      </w:r>
    </w:p>
    <w:p>
      <w:r>
        <w:t>En premier lieu, l'office recourant fait grief au Tribunal cantonal des assurances sociales d'avoir procédé à une constatation manifestement inexacte et incomplète des faits relativement à la capacité résiduelle de l'assurée, en ne tenant pas compte de l'avis exprimé par le médecin de son Service médical régional au cours de la procédure cantonale.</w:t>
      </w:r>
    </w:p>
    <w:p>
      <w:r>
        <w:rPr>
          <w:b/>
        </w:rPr>
        <w:t>E. 3.2</w:t>
      </w:r>
    </w:p>
    <w:p>
      <w:r>
        <w:t>En se contentant simplement de déplorer le fait qu'une pièce médicale n'aurait pas été prise en compte dans le cadre de l'appréciation des preuves, l'office recourant ne tente pas d'établir, par une argumentation précise et étayée, le caractère insoutenable du point de vue retenu par les premiers juges. En particulier, il n'explique pas les raisons pour lesquelles il estime qu'il serait préférable de retenir l'avis de son Service médical plutôt que celui du docteur N.________. Pour ce motif déjà, le grief est mal fondé. Au demeurant, on ne voit pas en quoi le rapport du SMR dont se prévaut l'office recourant serait de nature à influer sur le sort de la cause. Il ne contient en effet aucune appréciation de la capacité de travail de l'assurée, fondée sur une analyse critique des pièces médicales versées au dossier.</w:t>
      </w:r>
    </w:p>
    <w:p>
      <w:r>
        <w:rPr>
          <w:b/>
        </w:rPr>
        <w:t>E. 4.1</w:t>
      </w:r>
    </w:p>
    <w:p>
      <w:r>
        <w:t>L'office recourant reproche également aux premiers juges d'avoir évalué de manière erronée le degré d'invalidité de l'assurée pour la part que celle-ci consacre à l'exercice d'une activité lucrative, singulièrement d'avoir calculé la perte de gain de l'assurée d'une manière qui ne serait pas conforme à la méthode ordinaire de comparaison des revenus.</w:t>
      </w:r>
    </w:p>
    <w:p>
      <w:r>
        <w:rPr>
          <w:b/>
        </w:rPr>
        <w:t>E. 4.2.1</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 art. 28a al. 3 LAI en corrélation avec l' art. 27bis RAI , ainsi que les art. 16 LPGA et 28a al. 2 LAI en corrélation avec les art. 27 RAI et 8 al. 3 LPGA).</w:t>
      </w:r>
    </w:p>
    <w:p>
      <w:r>
        <w:rPr>
          <w:b/>
        </w:rPr>
        <w:t>E. 4.2.2</w:t>
      </w:r>
    </w:p>
    <w:p>
      <w:r>
        <w:t>Ainsi, l'invalidité des assurés pour la part qu'ils consacrent à leur activité lucrative doit être évaluée selon la méthode ordinaire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sans invalidité).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4.3</w:t>
      </w:r>
    </w:p>
    <w:p>
      <w:r>
        <w:t>Les premiers juges ont violé le droit fédéral en ne procédant pas à une comparaison des revenus pour fixer le degré d'invalidité dans la part consacrée à l'exercice de l'activité lucrative. Contrairement à ce que laisse sous-entendre la juridiction cantonale, la jurisprudence ne permet pas d'assimiler simplement le degré d'incapacité de travail d'une personne assurée à son degré d'invalidité. Dans la mesure où il n'est pas contesté que l'assurée est en mesure d'exercer - certes avec une capacité de travail limitée - son activité habituelle, il est possible, dans le cas particulier, de procéder à une comparaison en pour cent pour évaluer la perte de gain et, partant, l'invalidité pour la part consacrée à l'exercice d'une activité lucrative (cf. ATF 114 V 310 consid. 3a p. 313 et les références). En effet, l'étendue de la perte de gain résultant de son incapacité de travail représente nécessairement un pourcentage entre le salaire qu'elle aurait touché (en travaillant à 80 %) si elle était demeurée en bonne santé et le salaire qu'elle est actuellement en mesure d'obtenir (en travaillant à 50 %). En l'espèce, il convient d'arrêter le degré d'invalidité pour la part que l'assurée consacre à l'exercice d'une activité lucrative à 37,5 % ([80-50] x 100 : 80). Le taux d'invalidité globale s'élève par voie de conséquent à 35 % ([0,8 x 37,5 %] + [0,2 x 25,9 %]), taux qui ne donne pas droit à une rente de l'assurance-invalidité. C'est donc à tort que les premiers juges ont alloué à l'assurée un quart de rente d'invalidité. Le recours se révèle bien fondé.</w:t>
      </w:r>
    </w:p>
    <w:p>
      <w:r>
        <w:rPr>
          <w:b/>
        </w:rPr>
        <w:t>E. 5</w:t>
      </w:r>
    </w:p>
    <w:p>
      <w:r>
        <w:t>L'institution du recours joint n'étant pas admise devant le Tribunal fédéral (Message du 28 février 2001 concernant la révision totale de l'organisation judiciaire fédérale, FF 2001 4139 ch. 4.1.4.5; ATF 134 III 332 consid. 2.5 p. 335), la conclusion de l'intimée tendant à l'octroi d'une demi-rente d'invalidité n'est pas recevable.</w:t>
      </w:r>
    </w:p>
    <w:p>
      <w:r>
        <w:rPr>
          <w:b/>
        </w:rPr>
        <w:t>E. 6</w:t>
      </w:r>
    </w:p>
    <w:p>
      <w:r>
        <w:t>Vu l'issue du litige, les frais judiciaires sont mis à la charge de l'intimée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