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9C_233/2009 vom 6. Mai 2009</w:t>
      </w:r>
    </w:p>
    <w:p>
      <w:r>
        <w:t>Bundesgericht, 2009-05-06, DE</w:t>
      </w:r>
    </w:p>
    <w:p>
      <w:r>
        <w:rPr>
          <w:b/>
        </w:rPr>
        <w:t xml:space="preserve">Quelle: </w:t>
      </w:r>
      <w:r>
        <w:t>https://mcp.opencaselaw.ch/entscheid/bger_9C_233_2009</w:t>
      </w:r>
    </w:p>
    <w:p>
      <w:r>
        <w:t>FR: TF 9C_233/2009 du 6 mai 2009</w:t>
      </w:r>
    </w:p>
    <w:p>
      <w:r>
        <w:t>IT: TF 9C_233/2009 del 6 maggio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Nach der Rechtsprechung sind bei der rückwirkenden Zusprechung einer abgestuften oder befristeten Rente die Revisionsbestimmungen ( Art. 17 Abs. 1 ATSG ; Art. 88a Abs. 1 IVV ) analog anwendbar, weil noch vor Erlass der ersten Rentenverfügung eine anspruchsbeeinflussende Änderung eingetreten ist mit der Folge, dass dann gleichzeitig die Änderung mitberücksichtigt wird (vgl. BGE 109 V 125 E. 4a S. 126; ZAK 1984 S. 133; Urteile 9C_734/2008 vom 24. November 2008 und I 79/07 vom 17. Januar 2008; siehe auch BGE 131 V 164 E. 2.2 S. 165). 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2.2</w:t>
      </w:r>
    </w:p>
    <w:p>
      <w:r>
        <w:t>Mit Verfügung vom 22. August 2008 sprach die IV-Stelle der Beschwerdeführerin rückwirkend ab 1. Mai 2007 eine bis 31. Juli 2007 befristete ganze Invalidenrente zu. Die Vorinstanz wies die hiegegen erhobene Beschwerde ab, wobei sie im Wesentlichen gestützt auf die Abklärungen des RAD ab August 2007 von einer Einschränkung in der Arbeitsfähigkeit von lediglich noch 15 % ausging. Dementsprechend ende der Rentenanspruch am 31. Juli 2007.</w:t>
      </w:r>
    </w:p>
    <w:p>
      <w:r>
        <w:t>Nach Massgabe des analog anwendbaren Art. 88a Abs. 1 IVV ist dieses Vorgehen unzulässig. Vielmehr konnte die ab 1. Mai 2007 gewährte ganze Invalidenrente frühestens mit Wirkung ab 1. November 2007 aufgehoben werden, falls die den Rentenanspruch ausschliessende Verbesserung der Erwerbsfähigkeit bis zu jenem Zeitpunkt angehalten hatte und anzunehmen ist, dass sie darüber hinaus angedauert hat.</w:t>
      </w:r>
    </w:p>
    <w:p>
      <w:r>
        <w:rPr>
          <w:b/>
        </w:rPr>
        <w:t>E. 2.3.1</w:t>
      </w:r>
    </w:p>
    <w:p>
      <w:r>
        <w:t>Das Verwaltungsgericht stellte in einlässlicher Würdigung der medizinischen Unterlagen fest, dass die Beschwerdeführerin ab August 2007 nur noch im Ausmass von 15 % in ihrer Arbeitsfähigkeit eingeschränkt war. Dabei hat es auch zu der seitens der behandelnden Ärzte erhobenen Kritik an dem von ihm als massgebend erachteten Gutachten des RAD Stellung bezogen und diese entkräftet. In der Beschwerde wird nichts vorgebracht, was die vorinstanzliche Feststellung des rechtserheblichen medizinischen Sachverhalts als offensichtlich unrichtig oder auf einer Bundesrechtsverletzung beruhend erscheinen lassen könnte, weshalb das Bundesgericht von der festgestellten Arbeitsunfähigkeit von 15 % auszugehen hat (E. 1 hievor; vgl. BGE 132 V 393 E. 3.2 S. 397).</w:t>
      </w:r>
    </w:p>
    <w:p>
      <w:r>
        <w:rPr>
          <w:b/>
        </w:rPr>
        <w:t>E. 2.3.2</w:t>
      </w:r>
    </w:p>
    <w:p>
      <w:r>
        <w:t>Aus dem Ablauf des Administrativverfahrens, insbesondere dem Umstand, dass die RAD-Psychiaterin die am 14. März 2007 empfohlene Untersuchung selber durchführte, ergeben sich keine Anhaltspunkte für eine Befangenheit. Der in diesem Zusammenhang erhobene Vorwurf der "Vorab-Beurteilung der Arbeitsfähigkeit" ist unbegründet. Denn Frau Dr. med. B.________ hat nur die Erfahrungstatsache zum Ausdruck gebracht, dass Depressionen in der Regel behandelbar sind, eine gute Prognose aufweisen und daher nur selten zur Invalidität führen. Wenn in der Beschwerde beanstandet wird, die Ärztin habe die Gründe für den im Verlauf der Erstexploration eingetretenen Stimmungsumschwung "im Dunkeln gelassen", so spricht dies nicht gegen die Ordnungsmässigkeit der Expertisierung; ein Verstoss gegen die deontologischen Grundsätze der psychiatrischen Begutachtung im Sinne der Leitlinien der Schweiz. Gesellschaft für Versicherungspsychiatrie (SGVP; vgl. SAeZ 2004 S. 1048 ff.) ist nicht ersichtlich.</w:t>
      </w:r>
    </w:p>
    <w:p>
      <w:r>
        <w:rPr>
          <w:b/>
        </w:rPr>
        <w:t>E. 2.3.3</w:t>
      </w:r>
    </w:p>
    <w:p>
      <w:r>
        <w:t>Die weiteren Vorbringen der Beschwerdeführerin erschöpfen sich zur Hauptsache in einer im letztinstanzlichen Verfahren unzulässigen, appellatorischen Kritik an der Beweiswürdigung der Vorinstanz. Soweit sich die Beschwerdeführerin auf die am 17. Oktober 2008 erfolgte Einweisung in die Psychiatrische Klinik X.________ und die dort bis 24. Dezember 2008 durchgeführte stationäre Behandlung beruft, kann sie daraus nichts zu ihren Gunsten ableiten. Denn diese Therapie fällt auf einen Zeitraum nach Erlass der Verfügung der IV-Stelle vom 22. August 2008 und hätte bei einer damit verbundenen, andauernden rentenerheblichen Verschlechterung des Gesundheitszustandes und der Leistungsfähigkeit gegebenenfalls Gegenstand einer neuen Verwaltungsverfügung zu bilden. Auch der nachträglich eingereichte hausärztliche Verlaufsbericht des Allgemeinpraktikers Dr. med. R.________ vom 12. März 2009 kann schon deshalb nicht in die Beurteilung einbezogen werden, weil dieser sich, soweit von Belang, auf die Zeit der Hospitalisation bezieht und keine zuverlässigen, objektivierbaren und begründeten Rückschlüsse auf den Grad der Arbeitsunfähigkeit in dem für die richterliche Beurteilung massgebenden Zeitraum bis zum Erlass der Verwaltungsverfügung ( BGE 129 V 1 E. 1.2 S. 4) zulässt.</w:t>
      </w:r>
    </w:p>
    <w:p>
      <w:r>
        <w:rPr>
          <w:b/>
        </w:rPr>
        <w:t>E. 2.3.4</w:t>
      </w:r>
    </w:p>
    <w:p>
      <w:r>
        <w:t>Schliesslich ist im Umstand, dass die Vorinstanz die Arztberichte abweichend von den Vorbringen der Versicherten gewichtet und gewürdigt hat, keine Rechtsverletzung, namentlich kein Verstoss gegen den Untersuchungsgrundsatz, zu erkennen. Wenn das kantonale Gericht trotz der von den Dres. med. R.________ und L.________ geäusserten Zweifel an Sinn und Verwertbarkeit einer Begutachtung durch die RAD-Ärztin auf den entsprechenden Bericht abgestellt hat, ist es jedenfalls entgegen der Auffassung der Beschwerdeführerin nicht in Willkür verfallen.</w:t>
      </w:r>
    </w:p>
    <w:p>
      <w:r>
        <w:rPr>
          <w:b/>
        </w:rPr>
        <w:t>E. 3</w:t>
      </w:r>
    </w:p>
    <w:p>
      <w:r>
        <w:t>Dem Verfahrensausgang entsprechend sind die Gerichtskosten den Parteien anteilsmässig aufzuerlegen ( Art. 66 Abs. 1 BGG ). Die IV-Stelle hat der Beschwerdeführerin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