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9C_233/2008 vom 3. Juni 2008</w:t>
      </w:r>
    </w:p>
    <w:p>
      <w:r>
        <w:t>Bundesgericht, 2008-06-03, DE</w:t>
      </w:r>
    </w:p>
    <w:p>
      <w:r>
        <w:rPr>
          <w:b/>
        </w:rPr>
        <w:t xml:space="preserve">Quelle: </w:t>
      </w:r>
      <w:r>
        <w:t>https://mcp.opencaselaw.ch/entscheid/bger_9C_233_2008</w:t>
      </w:r>
    </w:p>
    <w:p>
      <w:r>
        <w:t>FR: TF 9C_233/2008 du 3 juin 2008</w:t>
      </w:r>
    </w:p>
    <w:p>
      <w:r>
        <w:t>IT: TF 9C_233/2008 del 3 giugno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Gemäss Art. 61 Abs. 1 Satz 1 KVG legt der Versicherer die Prämien für seine Versicherten fest. Entrichten Versicherte fällige Prämien und Kostenbeteiligungen trotz Mahnung nicht, hat der Versicherer das Vollstreckungsverfahren einzuleiten ( Art. 90 Abs. 3 KVV in der vom 1. Januar 2003 bis 31. Dezember 2005 gültig gewesenen wie auch in der seit 1. Januar 2006 anwendbaren Fassung; BGE 131 V 147 E. 5 und 6 S. 148 ff.).</w:t>
      </w:r>
    </w:p>
    <w:p>
      <w:r>
        <w:rPr>
          <w:b/>
        </w:rPr>
        <w:t>E. 3.1</w:t>
      </w:r>
    </w:p>
    <w:p>
      <w:r>
        <w:t>Streitig ist lediglich noch, ob die Beschwerdegegnerin das Informations- und Akteneinsichtsrecht des Beschwerdeführers verletzt hat und in diesem Zusammenhang, ob der Versicherte die Bezahlung der vor Bundesgericht ziffernmässig nicht bestrittenen Kostenbeteiligungen und unbestritten gebliebenen Prämienausstände verweigern sowie ob die Beschwerdegegnerin Mahn- und Betreibungsspesen in Rechnung stellen durfte.</w:t>
      </w:r>
    </w:p>
    <w:p>
      <w:r>
        <w:rPr>
          <w:b/>
        </w:rPr>
        <w:t>E. 3.2</w:t>
      </w:r>
    </w:p>
    <w:p>
      <w:r>
        <w:t>Die im Rahmen von Art. 64 KVG in Verbindung mit Art. 103 KVV erhobenen Kostenbeteiligungen stellen, sofern sie auf Grund der vom Leistungserbringer erstellten Rechnungen ausgewiesen sind, eine Schuld der versicherten Person dar. Soweit die Krankenversicherung im System des Tiers payant - wie hier die Beschwerdegegnerin - ihrer Zahlungspflicht gegenüber dem Leistungserbringer nachgekommen ist, hat sie Anspruch darauf, von der versicherten Person die gesetzlich vorgeschriebenen Kostenbeteiligungen zu erhalten. Dieser Anspruch besteht unabhängig davon, ob die versicherte Person die ihr zustehende Rechnungskopie - vom Krankenversicherer oder vom Leistungserbringer - erhalten hat (hiezu Art. 42 Abs. 3 Satz 3 KVG ). Es handelt sich dabei nur um ein Element der Kostenkontrolle, nicht um eine Vorleistung im Sinne eines Zug-um-Zug-Geschäfts in Analogie zu Art. 82 OR , deren Unterlassung die Nichtbegleichung der vom Krankenversicherer in Rechnung gestellten Prämien und Kostenbeteiligungen rechtfertigen würde (in RKUV 2003 Nr. KV 252 S. 227 nicht publizierte E. 3.2 des Urteils des Eidgenössischen Versicherungsgerichtes K 99/02 vom 23. Juni 2003). Bereits daraus ergibt sich ohne weiteres, dass die Weigerung des Beschwerdeführers, die ausstehenden Beträge zu bezahlen, unrechtmässig und damit die gesetzeskonforme Erhebung von Mahn- und Betreibungsspesen korrekt war, zumal die Beschwerdegegnerin nach den verbindlichen Feststellungen der Vorinstanz dem Versicherten jeweils gleichzeitig mit der Leistungsabrechnung die Rechnungskopien der Apotheke X.________ zugestellt hat. Daraus war es dem Beschwerdeführer ohne weiteres möglich, sämtliche Rechnungspositionen (Medikamente und therapeutische Hilfsmittel) im Detail zu ersehen. Nachdem der Beschwerdeführer zumindest nachträglich (am 14. Februar 2007) auch für jede Kostenbeteiligung die verlangten Kopien der detaillierten Apothekenbezüge erhalten und zudem am 29. Januar 2008 Einsicht in die Originalbelege genommen hat, entbehren seine Ausführungen ohnehin jeglicher Grundlage. Die Behauptung, das Akteneinsichtsrecht sei in ungenügendem Ausmass gewährt worden, ist nicht nachvollziehbar. Schliesslich besteht entgegen den Vorbringen in der Beschwerde keine Pflicht der Krankenversicherung, einem säumigen Versicherten einen Einigungsvorschlag zu unterbreiten. Es kann auf den in allen Teilen überzeugenden vorinstanzlichen Entscheid verwiesen werden.</w:t>
      </w:r>
    </w:p>
    <w:p>
      <w:r>
        <w:rPr>
          <w:b/>
        </w:rPr>
        <w:t>E. 4</w:t>
      </w:r>
    </w:p>
    <w:p>
      <w:r>
        <w:t>Die offensichtlich unbegründete Beschwerde wird im vereinfachten Verfahren nach Art. 109 Abs. 2 lit. a BGG erledigt.</w:t>
      </w:r>
    </w:p>
    <w:p>
      <w:r>
        <w:rPr>
          <w:b/>
        </w:rPr>
        <w:t>E. 5</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