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9C_232/2017 vom 3. Oktober 2017</w:t>
      </w:r>
    </w:p>
    <w:p>
      <w:r>
        <w:t>Bundesgericht, 2017-10-03, DE</w:t>
      </w:r>
    </w:p>
    <w:p>
      <w:r>
        <w:rPr>
          <w:b/>
        </w:rPr>
        <w:t xml:space="preserve">Quelle: </w:t>
      </w:r>
      <w:r>
        <w:t>https://mcp.opencaselaw.ch/entscheid/bger_9C_232_2017</w:t>
      </w:r>
    </w:p>
    <w:p>
      <w:r>
        <w:t>FR: TF 9C_232/2017 du 3 octobre 2017</w:t>
      </w:r>
    </w:p>
    <w:p>
      <w:r>
        <w:t>IT: TF 9C_232/2017 del 3 ottobre 2017</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1.1</w:t>
      </w:r>
    </w:p>
    <w:p>
      <w:r>
        <w:t>Die Vorinstanz heisst die Beschwerde im Sinne der Erwägungen unter Aufhebung der angefochtenen Verfügung gut und weist die Angelegenheit "zur neuen Berechnung des Invaliditätsgrads und einer entsprechenden Rente" an die Beschwerdeführerin zurück.</w:t>
      </w:r>
    </w:p>
    <w:p>
      <w:r>
        <w:rPr>
          <w:b/>
        </w:rPr>
        <w:t>E. 1.2</w:t>
      </w:r>
    </w:p>
    <w:p>
      <w:r>
        <w:t>Ob es sich beim angefochtenen Rückweisungsentscheid um einen (Teil-) End- oder einen Zwischenentscheid handelt (vgl. Art. 90 f. und 93 BGG), kann offen bleiben. Er enthält Anordnungen, die den Beurteilungsspielraum der Beschwerdeführerin zumindest wesentlich einschränken. Sie wird damit gezwungen, gegebenenfalls eine ihres Erachtens rechtswidrige Verfügung zu erlassen. Die Eintretensvoraussetzung des nicht wieder gutzumachenden Nachteils im Sinne von Art. 93 Abs. 1 lit. a BGG ist in Anbetracht dieser Sachlage erfüllt, weshalb sich die Beschwerde so oder anders als zulässig erweist ( BGE 140 V 282 E. 4.2 S. 285 f.; Urteil 9C_592/2015 vom 2. Mai 2016 E. 1.2 mit Hinweis).</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w:t>
      </w:r>
    </w:p>
    <w:p>
      <w:r>
        <w:t>Streitig und zu prüfen ist im vorliegenden Verfahren die - von Beschwerdeführerin und BSV verneinte - Frage, ob die Vorinstanz die rentenablehnende Verfügung vom 3. August 2016 zu Recht unter Bezugnahme auf das Urteil des Europäischen Gerichtshofes für Menschenrechte (EGMR; Zweite Kammer) in Sachen Di Trizio gegen die Schweiz (7186/09) vom 2. Februar 2016, rechtskräftig geworden am 4. Juli 2016 (vgl. Urteil 9C_752/2016 vom 6. September 2017 E. 4, zur Publikation vorgesehen), mit der Feststellung aufgehoben hat, diese verletze das verfassungsmässige Recht der Beschwerdegegnerin auf Familienleben.</w:t>
      </w:r>
    </w:p>
    <w:p>
      <w:r>
        <w:rPr>
          <w:b/>
        </w:rPr>
        <w:t>E. 4.1</w:t>
      </w:r>
    </w:p>
    <w:p>
      <w:r>
        <w:t>Bei Versicherten, die nur zum Teil erwerbstätig sind, bestimmt sich die Invalidität dadurch, dass im Erwerbsbereich ein Einkommens- und im Aufgabenbereich ein Betätigungsvergleich vorgenommen wird (vgl. Art. 28a Abs. 1 IVG in Verbindung mit Art. 16 ATSG ; Art. 28a Abs. 2 IVG ). Die Invalidität ergibt sich unter Anwendung der gemischten Methode aus der Addierung der in beiden Bereichen ermittelten und gewichteten Teilinvaliditäten (vgl. Art. 28a Abs. 3 IVG ; BGE 130 V 393 E. 3.3 S. 396; Urteil 9C_399/2016 vom 18. Januar 2017 E. 4.1.1 mit Hinweisen).</w:t>
      </w:r>
    </w:p>
    <w:p>
      <w:r>
        <w:rPr>
          <w:b/>
        </w:rPr>
        <w:t>E. 4.2</w:t>
      </w:r>
    </w:p>
    <w:p>
      <w:r>
        <w:t>Das Bundesgericht hat sich im Revisionsentscheid BGE 143 I 50 betreffend das Urteil 9C_49/2008 vom 28. Juli 2008 zu den Implikationen des EGMR-Urteils in Sachen Di Trizio geäussert und Folgendes festgehalten:</w:t>
      </w:r>
    </w:p>
    <w:p>
      <w:r>
        <w:rPr>
          <w:b/>
        </w:rPr>
        <w:t>E. 4.2.1</w:t>
      </w:r>
    </w:p>
    <w:p>
      <w:r>
        <w:t>Das Urteil des EGMR vom 2. Februar 2016 betrifft eine versicherte Person, welche unter dem Status einer Vollerwerbstätigen eine Invalidenrente beanspruchen konnte und diesen Anspruch zu einem späteren Zeitpunkt allein auf Grund des Umstands verliert,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Rz. 27 zu Art. 30-31 IVG ) hat zur Folge, dass der Invaliditätsgrad nicht mehr anhand eines (auf Vollerwerbstätige anwendbaren) Einkommensvergleichs im Sinne von Art. 28a Abs. 1 IVG in Verbindung mit Art. 16 ATSG ermittelt wird, sondern nach der (auf Teilerwerbstätige mit einem Aufgabenbereich anwendbaren) gemischten Methode im Sinne von Art. 28a Abs. 3 IVG , was im Falle der am Recht stehenden Versicherten zur revisionsweisen Aufhebung der Invalidenrente bzw. zur Befristung der rückwirkend zugesprochenen Rente führt ( BGE 131 V 164 und 125 V 413 E. 2d S. 417 f.; Meyer/Reichmuth, a.a.O., Rz. 11 und 19 zu Art. 30-31 IVG ). Als Verletzung von Art. 14 (Diskriminierungsverbot) in Verbindung mit Art. 8 EMRK (Recht auf Achtung des Familienlebens)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Herabsetzung oder Aufhebung der Invalidenrente (bzw. die Befristung der rückwirkend zugesprochenen Rente) resultiert ( BGE 143 I 50 E. 4.1 S. 58 f.; ferner BGE 143 I 60 E. 3.3.1 S. 63).</w:t>
      </w:r>
    </w:p>
    <w:p>
      <w:r>
        <w:rPr>
          <w:b/>
        </w:rPr>
        <w:t>E. 4.2.2</w:t>
      </w:r>
    </w:p>
    <w:p>
      <w:r>
        <w:t>Zur Herstellung des konventionskonformen Zustands ist in der hiervor beschriebenen Konstellation auf die Herabsetzung oder Aufhebung der Invalidenrente im Sinne von Art. 17 Abs. 1 ATSG alleine zufolge eines Statuswechsels von "vollerwerbstätig" zu "teilerwerbstätig mit Aufgabenbereich" zu verzichten. In diesem Fall ist die Aufhebung der Invalidenrente EMRK-widrig ( BGE 143 I 50 E. 4.2 S. 59; so auch BGE 143 I 60 E. 3.3.2 S. 63).</w:t>
      </w:r>
    </w:p>
    <w:p>
      <w:r>
        <w:rPr>
          <w:b/>
        </w:rPr>
        <w:t>E. 4.3.1</w:t>
      </w:r>
    </w:p>
    <w:p>
      <w:r>
        <w:t>Im IV-Rundschreiben Nr. 355 des BSV vom 31. Oktober 2016 (mit Aktualisierung per 26. Mai 2017; nachfolgend: IV-Rundschreiben) wird das weitere Vorgehen nach dem Urteil des EGMR vom 2. Februar 2016, soweit nicht eine "'Di Trizio' ähnliche Ausgangslage" vorliegt (Rentenrevision oder erstmalige Rentenzusprache mit gleichzeitiger Abstufung oder Befristung der Rente sowie - kumulativ - familiär bedingter Grund [Betreuungspflichten gegenüber minderjährigen Kindern] für die Reduktion der Arbeitszeit), wie folgt umschrieben: "Wie der Bundesrat bereits in seinem Bericht (vom 1. Juli 2015 [Beantwortung des Postulats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(Urteil 9C_525/2016 vom 15. März 2017 E. 4.2.2).</w:t>
      </w:r>
    </w:p>
    <w:p>
      <w:r>
        <w:rPr>
          <w:b/>
        </w:rPr>
        <w:t>E. 4.3.2</w:t>
      </w:r>
    </w:p>
    <w:p>
      <w:r>
        <w:t>Das Bundesgericht ist in den bisherigen nach Eintritt der Rechtskraft des EGMR-Urteils in Sachen Di Trizio gefällten Entscheiden im Sinne des erwähnten IV-Rundschreibens, welches den Charakter einer Verwaltungsweisung (zu deren Verbindlichkeit für die Sozialversicherungsgerichte: BGE 136 V 16 E. 5.1.2 am Ende S. 20 und 133 V 257 E. 3.2 S. 258) hat, vorgegangen (vgl. etwa Urteil 9C_525/2016 vom 15. März 2017 E. 4.2.2 und dortige Hinweise; ferner BGE 143 I 50 E. 4.4 S. 60; 143 V 77 E. 3.2.2 S. 80 und Urteil 9C_752/2016 vom 6. September 2017 E. 4.2, zur Publikation vorgesehen). Es besteht, wie die Beschwerdeführerin zu Recht anmerkt, kein Anlass, es vorliegend anders zu halten (zu den Voraussetzungen für eine Praxisänderung BGE 141 II 297 E. 5.5.1 S. 303; 137 V 417 E. 2.2.2 S. 422; je mit Hinweisen). Die gemischte Methode findet somit weiterhin Anwendung auf Fälle, die ausserhalb der beschriebenen Konstellation (allein familiär bedingter Statuswechsel von "vollerwerbstätig" zu "teilerwerbstätig" [mit Aufgabenbereich], der zur revisionsweisen Herabsetzung oder Aufhebung der Invalidenrente oder zur Befristung der rückwirkend zugesprochenen Rente führt) liegen (Urteil 9C_615/2016 vom 21. März 2017 E. 5.2, in: SVR 2017 IV Nr. 53 S. 158).</w:t>
      </w:r>
    </w:p>
    <w:p>
      <w:r>
        <w:rPr>
          <w:b/>
        </w:rPr>
        <w:t>E. 5.1</w:t>
      </w:r>
    </w:p>
    <w:p>
      <w:r>
        <w:t>Beim hier zu beurteilenden Sachverhalt handelt es sich entgegen der Betrachtungsweise des kantonalen Gerichts nicht um eine "'Di Trizio' ähnliche Ausgangslage".</w:t>
      </w:r>
    </w:p>
    <w:p>
      <w:r>
        <w:rPr>
          <w:b/>
        </w:rPr>
        <w:t>E. 5.1.1</w:t>
      </w:r>
    </w:p>
    <w:p>
      <w:r>
        <w:t>Die Beschwerdeführerin und das BSV führen zutreffend aus, dass zum einen weder der Fall einer Rentenrevision noch einer erstmaligen Rentenzusprache mit gleichzeitiger Abstufung oder Befristung der Rente vorliegt. Vielmehr war auf die erste IV-Anmeldung der Beschwerdegegnerin von Mai 2004 hin ein Rentenanspruch auf der Grundlage eines - anhand der Einkommensvergleichsmethode ermittelten - Invaliditätsgrads von 30 % ausdrücklich verneint worden (Einspracheentscheid der Beschwerdeführerin vom 16. Mai 2006, in Rechtskraft erwachsener Entscheid des Verwaltungsgerichts des Kantons Obwalden vom 6. November 2007).</w:t>
      </w:r>
    </w:p>
    <w:p>
      <w:r>
        <w:rPr>
          <w:b/>
        </w:rPr>
        <w:t>E. 5.1.2</w:t>
      </w:r>
    </w:p>
    <w:p>
      <w:r>
        <w:t>Ferner hatte die auf Juli 2004 vorgenommene Reduktion des bisherigen vollzeitlichen Arbeitspensums der Beschwerdegegnerin auf 40 % in Anbetracht einer sich im damaligen Zeitpunkt gemäss MEDAS-Gutachten vom 22. Dezember 2005 unstreitig auf 70 % belaufenden Arbeitsfähigkeit neben gesundheitlichen auch anderweitige, "freiwillige" Gründe. Nach der Geburt ihrer Tochter 2009 löste die Beschwerdegegnerin ihr Anstellungsverhältnis per Ende April 2010 auf. Seither geht sie keiner Erwerbstätigkeit mehr nach.</w:t>
      </w:r>
    </w:p>
    <w:p>
      <w:r>
        <w:t>Daraus erhellt, dass die Beschwerdegegnerin ihren Beschäftigungsgrad bereits vor der Geburt des Kindes und der damit neu eingetretenen Betreuungssituation aus auch gesundheitsfremden Motiven vermindert hat. Der Statuswechsel von voll- zu teil- bzw. nichterwerbstätig war somit nicht rein familiär bedingt, sondern stellt die Folge eines Mixes von gesundheitlichen, familiären und sonstigen Ursachen dar.</w:t>
      </w:r>
    </w:p>
    <w:p>
      <w:r>
        <w:rPr>
          <w:b/>
        </w:rPr>
        <w:t>E. 5.2</w:t>
      </w:r>
    </w:p>
    <w:p>
      <w:r>
        <w:t>Der Umstand, dass die Beschwerdeführerin die Invalidität im Rahmen ihrer Verfügung vom 3. August 2016 mittels der gemischten Methode festgelegt hat, kann vor diesem Hintergrund nicht als bundesrechtswidrig und namentlich nicht als gegen die EMRK verstossend bezeichnet werden. Wie vorstehend aufgezeigt wurde, ist eine Verletzung von Art. 14 in Verbindung mit Art. 8 EMRK im vorliegenden Kontext nur zu bejahen, wenn die von der versicherten Person getroffenen, in den Schutzbereich von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Herabsetzung oder Aufhebung der Invalidenrente (bzw. die Befristung der rückwirkend zugesprochenen Rente) resultiert. Eine derartige Konstellation liegt hier klar nicht vor, weshalb der vorinstanzliche Entscheid aufzuheben ist.</w:t>
      </w:r>
    </w:p>
    <w:p>
      <w:r>
        <w:rPr>
          <w:b/>
        </w:rPr>
        <w:t>E. 5.3</w:t>
      </w:r>
    </w:p>
    <w:p>
      <w:r>
        <w:t>Das kantonale Gericht hat sich nicht zu sämtlichen der im Rahmen der Bemessung des Invaliditätsgrads anhand der gemischten Methode relevanten Elementen geäussert (Ausmass der ausserhäuslichen [Teil-]Erwerbstätigkeit im Gesundheitsfall, Einschränkung im Aufgabenbereich). Aus Rechtsschutzgründen (kein Verlust der ersten und einzigen Instanz mit freier Beweiswürdigung) ist die Sache zur entsprechenden Anhandnahme an sie zurückzuweisen.</w:t>
      </w:r>
    </w:p>
    <w:p>
      <w:r>
        <w:rPr>
          <w:b/>
        </w:rPr>
        <w:t>E. 6</w:t>
      </w:r>
    </w:p>
    <w:p>
      <w:r>
        <w:t>Die Rückweisung der Sache an die Vorinstanz (mit noch offenem Ausgang) gilt für die Frage der Auferlegung der Gerichtskosten als vollständiges Obsiegen im Sinne von Art. 66 Abs. 1 Satz 1 BGG , unabhängig davon, ob sie beantragt oder ob das entsprechende Begehren im Haupt- oder im Eventualantrag gestellt wird ( BGE 132 V 215 E. 6.1 S. 235; u.a. Urteil 9C_309/2017 vom 13. Juli 2017 E. 5 mit Hinweisen). Demgemäss sind die Prozesskosten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