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9C_231/2011 vom 14. September 2011</w:t>
      </w:r>
    </w:p>
    <w:p>
      <w:r>
        <w:t>Bundesgericht, 2011-09-14, DE</w:t>
      </w:r>
    </w:p>
    <w:p>
      <w:r>
        <w:rPr>
          <w:b/>
        </w:rPr>
        <w:t xml:space="preserve">Quelle: </w:t>
      </w:r>
      <w:r>
        <w:t>https://mcp.opencaselaw.ch/entscheid/bger_9C_231_2011</w:t>
      </w:r>
    </w:p>
    <w:p>
      <w:r>
        <w:t>FR: TF 9C_231/2011 du 14 septembre 2011</w:t>
      </w:r>
    </w:p>
    <w:p>
      <w:r>
        <w:t>IT: TF 9C_231/2011 del 14 settembre 2011</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von hier nicht interessierenden Ausnahmen abgesehen den Sachverhalt zu Grunde, den die Vorinstanz festgestellt hat.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BGG und Art. 105 Abs. 1 und 2 BGG ).</w:t>
      </w:r>
    </w:p>
    <w:p>
      <w:r>
        <w:rPr>
          <w:b/>
        </w:rPr>
        <w:t>E. 2</w:t>
      </w:r>
    </w:p>
    <w:p>
      <w:r>
        <w:t>Streitig und zu prüfen ist der Anspruch des Versicherten auf Taggelder im Rahmen des Bachelorstudienganges Wirtschaftsrecht an der Schule M.________ ab 15. September 2008. Nicht Streitgegenstand bildet die Kostenübernahme für den Studiengang selbst, da die IV-Stelle darüber nicht verfügt hat. Soweit der Beschwerdeführer die Übernahme dieser Ausbildung beantragt, ist auf seine Beschwerde nicht einzutreten.</w:t>
      </w:r>
    </w:p>
    <w:p>
      <w:r>
        <w:rPr>
          <w:b/>
        </w:rPr>
        <w:t>E. 3.1</w:t>
      </w:r>
    </w:p>
    <w:p>
      <w:r>
        <w:t>Die Vorinstanz hat die gesetzlichen Bestimmungen und Grundsätze über den Anspruch auf berufliche Eingliederungsmassnahmen, insbesondere auf Übernahme der invaliditätsbedingten zusätzlichen Kosten der erstmaligen beruflichen Ausbildung und der - dieser gleichgestellten - beruflichen Neuausbildung oder beruflichen Weiterausbildung ( Art. 8 IVG in Verbindung mit Art. 16 Abs. 1 sowie Abs. 2 lit. b und c IVG; SVR 2009 IV Nr. 12 S. 27, 9C_252/2007 E. 5; SVR 2006 IV Nr. 49 S. 179, I 285/05 E. 2) zutreffend dargelegt. Gleiches gilt bezüglich Begriff und Ermittlung der "zusätzlichen Kosten" im Sinne von Art. 16 IVG ( Art. 5 und 5bis IVV ). Darauf wird verwiesen.</w:t>
      </w:r>
    </w:p>
    <w:p>
      <w:r>
        <w:t>Zu ergänzen ist, dass nach Art. 22 Abs. 1bis IVG Versicherte in der erstmaligen beruflichen Ausbildung und Versicherte, die das 20. Altersjahr noch nicht vollendet haben und noch nicht erwerbstätig gewesen sind, Anspruch auf ein Taggeld haben, wenn sie ihre Erwerbsfähigkeit ganz oder teilweise einbüssen. In diesem Kontext wird auch von einer invaliditätsbedingten Erwerbseinbusse gesprochen (ULRICH MEYER, Rechtsprechung des Bundesgerichts zum IVG, 2.A., 2010, S. 249; RZ. 1032 des Kreisschreibens des Bundesamtes für Sozialversicherungen über die Taggelder in der Invalidenversicherung, KSTI). Gemäss Rz. 1033 KSTI sind für die Ermittlung der invaliditätsbedingten Erwerbseinbusse die Erwerbsverhältnisse der versicherten Person mit jenen einer nichtbehinderten Person zu vergleichen, die das gleiche Berufsziel anstrebt. Dies in Analogie zur Regelung bezüglich der Feststellung der invaliditätsbedingten Mehrkosten der erstmaligen beruflichen Ausbildung. Zu einer invaliditätsbedingten Erwerbseinbusse führen kann gemäss Rz. 1034 KSTI insbesondere ein invaliditätsbedingt reduzierter Ausbildungslohn, der invaliditätsbedingt verzögerte Antritt der Ausbildung (Rückstand bezüglich der Höhe des Ausbildungslohnes), die invaliditätsbedingte Verlängerung der Ausbildung sowie die invaliditätsbedingte Unterbrechung der Ausbildung infolge Durchführung medizinischer Eingliederungsmassnahmen der IV zwischen der Vollendung des 18. und des 20. Altersjahres.</w:t>
      </w:r>
    </w:p>
    <w:p>
      <w:r>
        <w:rPr>
          <w:b/>
        </w:rPr>
        <w:t>E. 3.2</w:t>
      </w:r>
    </w:p>
    <w:p>
      <w:r>
        <w:t>Wie die Vorinstanz festgestellt hat, ist nicht ersichtlich, inwiefern dem Versicherten bei der fraglichen Ausbildung abgesehen von den anerkannten Transportkosten invaliditätsbedingte zusätzliche Kosten im Sinne von Art. 16 Abs. 1 IVG in Verbindung mit Art. 5 Abs. 3 IVV erwachsen, und es sind solche auch nicht ausgewiesen. Diese Feststellung ist im Lichte der gesetzlichen Sachverhaltskognition (E. 1 hievor) verbindlich. In der Beschwerde wird nichts vorgebracht, was sie als offensichtlich unrichtig erscheinen lässt.</w:t>
      </w:r>
    </w:p>
    <w:p>
      <w:r>
        <w:rPr>
          <w:b/>
        </w:rPr>
        <w:t>E. 3.3</w:t>
      </w:r>
    </w:p>
    <w:p>
      <w:r>
        <w:t>Zwar bildet nicht die Kostenübernahme für die Eingliederungsmassnahme an sich Streitgegenstand, sondern der Anspruch auf Taggeld. Beim Taggeld handelt es sich indes um eine akzessorische Leistung zur Eingliederungsmassnahme ( BGE 120 V 429 E. 1 S. 432). Es kann grundsätzlich nur ausgerichtet werden, wenn und solange Eingliederungsmassnahmen der Invalidenversicherung zur Durchführung gelangen (Meyer, a.a.O. S. 250). Da wie dargelegt, keine wesentlichen Mehrkosten im Sinne von Art. 16 Abs. 1 IVG ausgewiesen und damit die Voraussetzungen für den Anspruch auf weitere berufliche Massnahmen von vornherein nicht erfüllt sind, entfällt prinzipiell - mangels eines taggeldbegleiteten Tatbestands - auch ein Anspruch auf Taggeld. Damit kann offen bleiben, ob der fragliche Studiengang als erstmalige berufliche Ausbildung im Sinne von Art. 16 Abs. 1 IVG zu qualifizieren ist oder nicht.</w:t>
      </w:r>
    </w:p>
    <w:p>
      <w:r>
        <w:t>Anzufügen ist an dieser Stelle, dass das Bundesgericht im Urteil 9C_181/2009 vom 3. November 2009 (E. 5.2.1) lediglich erwogen hat, dass ein weiterführendes Studium an einer spezifischen Fachhochschule grundsätzlich als Teil der erstmaligen beruflichen Ausbildung gemäss Art. 16 Abs. 1 IVG in Betracht falle. Ein zwingender Schluss lässt sich daraus nicht ziehen.</w:t>
      </w:r>
    </w:p>
    <w:p>
      <w:r>
        <w:rPr>
          <w:b/>
        </w:rPr>
        <w:t>E. 3.4</w:t>
      </w:r>
    </w:p>
    <w:p>
      <w:r>
        <w:t>Im Weiteren bestehen keine hinreichenden Anhaltspunkte dafür, dass der Versicherte eine invaliditätsbedingte Erwerbseinbusse im Sinne von Art. 22 Abs. 1bis IVG erleidet. Der Beschwerdeführer macht nicht geltend, dass er bzw. ein jeder Nichtbehinderter, der das gleiche Berufsziel anstrebt, neben dem Besuch der spezialisierten Fachhochschule eine Erwerbstätigkeit ausüben würde (vgl. BGE 124 V 113 E. 4b S. 115 f.). Auch im Rahmen der Untersuchungsmaxime obliegt dem Rechtssuchenden die Pflicht, die rechtserheblichen Tatsachen zu behaupten und zu belegen (9C_211/2011 vom 5. Juli 2011 E. 4.4.2; SVR 2010 EL Nr. 7 S. 19, 9C_724/2009 E. 3.2.3.2; 5P.6/2004 vom 12. März 2004 E. 2.3 in fine). Allenfalls mag die Ausbildung behinderungsbedingt länger dauern, was im Umfang der behinderungsbedingten Verlängerung zu einer invaliditätsbedingten Erwerbseinbusse führen kann (E. 3.1 hievor). Darüber ist jedoch in Bezug auf den massgebenden Überprüfungszeitpunkt und folglich über die Anwendbarkeit von Rz. 1035 KSTI des Verfügungserlasses (noch) nicht zu entscheiden.</w:t>
      </w:r>
    </w:p>
    <w:p>
      <w:r>
        <w:rPr>
          <w:b/>
        </w:rPr>
        <w:t>E. 4</w:t>
      </w:r>
    </w:p>
    <w:p>
      <w:r>
        <w:t>Dem Ausgang des Verfahrens entsprechend hat der Beschwerdeführer grundsätzlich die Gerichtskosten zu tragen ( Art. 66 Abs. 1 BGG ). Seinem Gesuch um unentgeltliche Rechtspflege kann jedoch entsprochen werden, da die hierfür erforderlichen Voraussetzungen erfüllt sind ( Art. 64 Abs. 1 und 2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