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230/2017 vom 24. Mai 2017</w:t>
      </w:r>
    </w:p>
    <w:p>
      <w:r>
        <w:t>Bundesgericht, 2017-05-24, DE</w:t>
      </w:r>
    </w:p>
    <w:p>
      <w:r>
        <w:rPr>
          <w:b/>
        </w:rPr>
        <w:t xml:space="preserve">Quelle: </w:t>
      </w:r>
      <w:r>
        <w:t>https://mcp.opencaselaw.ch/entscheid/bger_9C_230_2017</w:t>
      </w:r>
    </w:p>
    <w:p>
      <w:r>
        <w:t>FR: TF 9C 230/2017 du 24 mai 2017</w:t>
      </w:r>
    </w:p>
    <w:p>
      <w:r>
        <w:t>IT: TF 9C 230/2017 del 24 maggio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festgestellt, dass die IV-Stelle die Voraussetzungen gemäss Abs. 1 der Schlussbestimmungen der 6. IV-Revision eingehalten habe. Unter Hinweis auf das Gutachten des Spitals B.________, welches der Rentenzusprechung vom 6. November 2003 zugrundelag, führte sie aus, dass die damals diagnostizierten Leiden in den Anwendungsbereich der Schlussbestimmung der 6. IV-Revision fielen, da die Schmerzproblematik aus rheumatologischer Sicht nicht habe objektiviert werden können. Im Revisionszeitpunkt habe sodann gemäss bidisziplinärem Gutachten des Spitals C.________ vom 31. März 2014 und der Kliniken D.________ vom 20. November 2014 eine anhaltende somatoforme Schmerzstörung vorgelegen, wobei die verbliebene Arbeitsfähigkeit in einer angepassten Erwerbstätigkeit von den Gutachtern auf 70 % geschätzt wurde. Im Rahmen eines Einkommensvergleichs ermittelte das kantonale Gericht einen Invaliditätsgrad von 37 %, der keinen Rentenanspruch begründet.</w:t>
      </w:r>
    </w:p>
    <w:p>
      <w:r>
        <w:rPr>
          <w:b/>
        </w:rPr>
        <w:t>E. 3.1</w:t>
      </w:r>
    </w:p>
    <w:p>
      <w:r>
        <w:t>Die Beschwerdeführerin kritisiert die Beweiswürdigung der Vorinstanz, die für die Aufhebung der Invalidenrente auf das rheumatologisch-psychiatrische Gutachten vom 31. März/ 20. November 2014 abgestellt hat, in verschiedenen Punkten, ohne jedoch darzutun, inwiefern diese den rechtserheblichen medizinischen Sachverhalt offensichtlich unrichtig oder anderweitig unter Verletzung von Bundesrecht (E. 1 hievor) festgestellt haben soll. Den Einwand, der Gutachter habe kein eigenes MRI der Halswirbelsäule angefertigt und die daraus abgeleitete Behauptung, der Sachverhalt sei offensichtlich unrichtig und unvollständig festgestellt worden, hat bereits die Vorinstanz einlässlich und mit zutreffender Begründung entkräftet, sodass auf die entsprechenden Darlegungen verwiesen wird. Da das kantonale Gericht den medizinischen Sachverhalt vollständig ermittelt hat, erübrigt sich die Anordnung eines Obergutachtens, weshalb den eventualiter gestellten Rückweisungsanträgen der Beschwerdeführerin nicht stattzugeben ist.</w:t>
      </w:r>
    </w:p>
    <w:p>
      <w:r>
        <w:rPr>
          <w:b/>
        </w:rPr>
        <w:t>E. 3.2</w:t>
      </w:r>
    </w:p>
    <w:p>
      <w:r>
        <w:t>Schliesslich ist die Kritik am vorinstanzlich durchgeführten Einkommensvergleich unbegründet. Der leidensbedingte Abzug von 10 % wäre als Ermessensfrage einer letztinstanzlichen Korrektur nur mehr dort zugänglich, wo das kantonale Gericht das Ermessen rechtsfehlerhaft ausgeübt hat, also Ermessensüberschreitung, -missbrauch oder -unterschreitung vorliegt ( BGE 132 V 393 E. 3.3 S. 393). Eine rechtsfehlerhafte Ermessensbetätigung vermag die Versicherte nicht darzulegen. Da die Invaliditätsbemessung auf der Grundlage eines Einkommensvergleichs vorgenommen wurde, war entgegen den Vorbringen in der Beschwerde keine Haushaltabklärung durchzuführen.</w:t>
      </w:r>
    </w:p>
    <w:p>
      <w:r>
        <w:rPr>
          <w:b/>
        </w:rPr>
        <w:t>E. 4</w:t>
      </w:r>
    </w:p>
    <w:p>
      <w:r>
        <w:t>Mit dem Urteil in der Hauptsache wird das Gesuch um Gewährung der aufschiebenden Wirkung gegenstandslos.</w:t>
      </w:r>
    </w:p>
    <w:p>
      <w:r>
        <w:rPr>
          <w:b/>
        </w:rPr>
        <w:t>E. 5</w:t>
      </w:r>
    </w:p>
    <w:p>
      <w:r>
        <w:t>Dem Verfahrensausgang entsprechend sind die Gerichtskosten der unterliegenden Beschwerdeführerin aufzuerlegen ( Art. 66 Abs. 1 Satz 1 BGG ).</w:t>
      </w:r>
    </w:p>
    <w:p>
      <w:r>
        <w:rPr>
          <w:b/>
        </w:rPr>
        <w:t>E. 6</w:t>
      </w:r>
    </w:p>
    <w:p>
      <w:r>
        <w:t>Da die Beschwerde offensichtlich unbegründet ist, wird sie im Verfahren nach Art. 109 Abs. 2 lit. a BGG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