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22/2012 vom 4. Mai 2012</w:t>
      </w:r>
    </w:p>
    <w:p>
      <w:r>
        <w:t>Bundesgericht, 2012-05-04, DE</w:t>
      </w:r>
    </w:p>
    <w:p>
      <w:r>
        <w:rPr>
          <w:b/>
        </w:rPr>
        <w:t xml:space="preserve">Quelle: </w:t>
      </w:r>
      <w:r>
        <w:t>https://mcp.opencaselaw.ch/entscheid/bger_9C_22_2012</w:t>
      </w:r>
    </w:p>
    <w:p>
      <w:r>
        <w:t>FR: TF 9C 22/2012 du 4 mai 2012</w:t>
      </w:r>
    </w:p>
    <w:p>
      <w:r>
        <w:t>IT: TF 9C 22/2012 del 4 maggio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Nach Art. 53 Abs. 2 ATSG in Verbindung mit Art. 2 ATSG und Art. 1 Abs. 1 IVG kann die IV-Stelle auf formell rechtskräftige Verfügungen und Einspracheentscheide zurückkommen, wenn diese zweifellos unrichtig sind und wenn ihre Berichtigung von erheblicher Bedeutung ist. Eine Wiedererwägung in diesem Sinne ist in den Schranken von Art. 53 Abs. 3 ATSG jederzeit möglich,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 BGE 125 V 368 E. 2 S. 369; Urteil 9C_11/2008 vom 29. April 2008 E. 2).</w:t>
      </w:r>
    </w:p>
    <w:p>
      <w:r>
        <w:rPr>
          <w:b/>
        </w:rPr>
        <w:t>E. 2.2</w:t>
      </w:r>
    </w:p>
    <w:p>
      <w:r>
        <w:t>Das kantonale Gericht verneinte in umfassender Würdigung der Akten, dass im Vergleich zur rentenzusprechenden Verfügung vom 1. Juni 2007 bis zum Zeitpunkt der angefochtenen Revisionsverfügung vom 24. August 2010 eine veränderte oder verbesserte medizinische Situation eingetreten ist. In somatischer Hinsicht bestünden zwischen den beiden MEDAS-Gutachten vom 9. März 2004 und 28. Juli 2006 sowie dem Gutachten des medizinischen Zentrums Y.________ vom 28. April 2009 Übereinstimmung darin, dass keine somatischen Befunde mit Auswirkungen auf die Arbeitsfähigkeit vorlägen. Nach dem Gutachten des medizinischen Zentrums Y.________ leide die Versicherte immer noch an einer mittelgradigen depressiven Episode, daneben noch an einer phobischen Störung. Eine deutlich verbesserte psychische Situation sei daher ebenfalls nicht eingetreten. Im Zeitpunkt der ursprünglichen Rentenverfügung vom 1. Juni 2007 seien der IV-Stelle zwei Gutachten der MEDAS des Spitals X.________ vorgelegen. Am 9. März 2004 gelangten die Gutachter zum Schluss, dass die Versicherte zurzeit aus psychischen Gründen (depressive Episode mit somatischen Symptomen) seit 1. September 2002 zu 100 % (zuvor zu 50 % seit 17. März 2002) arbeitsunfähig sei, jedoch in einigen Monaten wieder eine 50%ige Arbeitsfähigkeit möglich wäre; innerhalb eines halben Jahres sollte eine Reevaluation erfolgen. Im zweiten Gutachten vom 28. Juli 2006 sei der Beschwerdeführerin eine Arbeitsfähigkeit von 80 % (Pensum 100 %, Leistung um 20 % reduziert; Diagnose mittelgradige ausgeprägte depressive Episode vor dem Hintergrund einer anhaltenden schwierigen psychosozialen Konfliktsituation mit Somatisierung) attestiert worden. Vor diesem Hintergrund habe die IV-Stelle mit Vorbescheid vom 6. Dezember 2006 die Zusprache einer vom 1. März 2003 bis 31. Juli 2006 befristeten ganzen Rente in Aussicht genommen. Aufgrund der Stellungnahme des RAD vom 23. Januar 2007 habe die IV-Stelle am 1. Juni 2007 der Beschwerdeführerin jedoch eine unbefristete ganze Rente mit Wirkung ab 1. März 2003 zugesprochen. Dieser Entscheid ist nach Auffassung des kantonalen Gerichts indes als Verstoss gegen den Untersuchungsgrundsatz zu betrachten. Wenn nämlich nicht klar gewesen sei, ob sich eine Veränderung des Gesundheitszustandes der Versicherten eingestellt habe, wären neue medizinische Abklärungen notwendig gewesen, zumal sich nicht festlegen liess, welches MEDAS-Gutachten beweiskräftiger war. Es habe sich damals nicht um ein Revisionsverfahren gehandelt, wo eine ursprüngliche Beurteilung vorgelegen habe. Vielmehr sei es damals am 1. Juni 2007 um die ursprüngliche Rentenzusprache gegangen. Die Aussage des RAD-Arztes vom 23. Januar 2007 vermittle den Eindruck, er habe diese Konstellation übersehen und zudem bereits erwerbliche Gesichtspunkte in seine Beurteilung miteinbezogen, was indes nicht seine Aufgabe sei. Die im MEDAS-Gutachten vom 28. Juli 2006 vorgenommene Zumutbarkeitsbeurteilung könne praxisgemäss nicht einer vollen Arbeitsunfähigkeit gleichgesetzt werden. Aufgrund der damaligen Aktenlage sei es vertretbar gewesen, entweder - wie im Vorbescheid vom 6. Dezember 2006 vorgesehen - eine befristete Rente zuzusprechen, oder aber - wie dies die Beschwerdegegnerin am 23. Mai 2011 zutreffend festgehalten habe - ergänzende medizinische Abklärungen vorzunehmen. Für die Zusprache einer unbefristeten ganzen Rente habe jedoch angesichts der medizinischen Erkenntnisse im Gutachten vom 28. Juli 2006 keine Grundlage bestanden. Die Verfügung vom 1. Juni 2007 habe somit zumindest in klarer Weise gegen den Untersuchungsgrundsatz verstossen, liess doch die damalige Aktenlage die Zusprache einer unbefristeten ganzen Rente nicht zu.</w:t>
      </w:r>
    </w:p>
    <w:p>
      <w:r>
        <w:rPr>
          <w:b/>
        </w:rPr>
        <w:t>E. 2.3</w:t>
      </w:r>
    </w:p>
    <w:p>
      <w:r>
        <w:t>Die angeführten tatsächlichen Feststellungen des kantonalen Gerichts sind nicht mangelhaft im Sinne von Art. 97 Abs. 1 BGG noch ist die rechtliche Würdigung bundesrechtswidrig. Nach dem MEDAS-Gutachten vom 28. Juli 2006 waren der Beschwerdeführerin medizinisch-theoretisch alle Arbeiten im Anlernbereich möglich. Es müsse sich um psychisch einfache Arbeiten ohne besondere Anforderungen an die geistig-psychische Belastbarkeit handeln. Arbeiten unter besonderem Zeitdruck und Nachtschichtbedingungen seien nicht möglich. Eine solche Tätigkeit sei der Versicherten 100 %, d.h. 8 Stunden pro Tag, zumutbar. Unter Berücksichtigung der einschränkenden Faktoren bestehe eine Verminderung der Leistungsfähigkeit von 20 %. Wenn die IV-Stelle aufgrund dieser gutachterlichen Einschätzung der zumutbaren Leistungsfähigkeit im Juli 2006 eine unbefristete ganze Invalidenrente zugesprochen hat, so ist die Verfügung vom 1. Juni 2007 mit dem kantonalen Gericht als zweifellos unrichtig zu qualifizieren. Daran ändern sämtliche Einwendungen in der Beschwerde nichts. Namentlich ist das kantonale Gericht von einem bundesrechtskonformen Verständnis der zweifellosen Unrichtigkeit ausgegangen. Diese kann namentlich auch in der unrichtigen Tatsachenfeststellung im Sinne der Sachverhaltswürdigung bestehen (Urteil 9C_161/2012 vom 30. April 2012 E. 4 mit Hinweisen). Soweit die Beschwerdeführerin das zweite Gutachten der MEDAS des Spitals X.________ vom 28. Juli 2006 für nicht beweiskräftig hält, sind ihre Ausführungen nicht stichhaltig. Das Spital X.________ hat bereits das erste Gutachten vom 9. März 2004 erstattet und damals die Versicherte "zur Zeit" für vollständig arbeitsunfähig erklärt mit der Aussicht, dass in einigen Monaten wieder eine 50%ige Arbeitsfähigkeit möglich wäre. Am zweiten Gutachten vom 28. Juli 2006 wirkten wieder mehrere Ärzte mit, die sich bereits im ersten Gutachten mit dem Gesundheitszustand der Beschwerdeführerin befasst hatten. Selbst wenn das zweite Gutachten vom 28. Juli 2006 als mangelhaft taxiert würde, hat das kantonale Gericht zu Recht angenommen, unter diesen Umständen hätte die IV-Stelle vor der Rentenzusprechung mit Verfügung vom 1. Juni 2007 zusätzliche Abklärungen vornehmen müssen.</w:t>
      </w:r>
    </w:p>
    <w:p>
      <w:r>
        <w:rPr>
          <w:b/>
        </w:rPr>
        <w:t>E. 3.1</w:t>
      </w:r>
    </w:p>
    <w:p>
      <w:r>
        <w:t>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9C_960/2008 vom 6. März 2009 E. 1.2 mit Hinweisen; Urteil 9C_837/2010 vom 30. August 2011 E. 3.1). In zutreffender Anwendung dieser Grundsätze ist das kantonale Gericht gestützt auf das Gutachten des medizinischen Zentrums Y.________ vom 28. April 2009 von einer Arbeitsfähigkeit von 50 % in einer leichten, wechselbelastenden Tätigkeit (Halbtagespensum bei voller Leistung) ausgegangen. Gestützt auf die LSE 2008, Tabelle A1, Anforderungsniveau 4 ergebe sich angepasst an die Arbeitsfähigkeit von 50 % ein Invalideneinkommen von Fr. 26'506.-. Aufgrund der längeren Abstinenz vom Arbeitsmarkt (Arbeitsaufgabe September 2001), aber auch der Kombination der psychisch begründeten Erschwernisse mit der Beschränkung auf eine leichte, wechselbelastende Tätigkeit erscheine mit Blick auf die gesamten Umstände ein Abzug von 10 % vom Tabellenlohn als angemessen. Damit reduziere sich das Invalideneinkommen auf Fr. 23'855.-. Im Vergleich zum Valideneinkommen von Fr. 49'023.- für den früheren Tätigkeitsbereich der Beschwerdeführerin im Textilgewerbe (zuletzt bezogener Lohn im Jahr 2000 für zehn Monate inkl. Gratifikation Fr. 30'409.-) resultiere eine Einkommensdifferenz von Fr. 25'168.- oder (abgerundet) 51 %.</w:t>
      </w:r>
    </w:p>
    <w:p>
      <w:r>
        <w:rPr>
          <w:b/>
        </w:rPr>
        <w:t>E. 3.2</w:t>
      </w:r>
    </w:p>
    <w:p>
      <w:r>
        <w:t>Diese Ermittlung des Invaliditätsgrades gibt weder in tatsächlicher noch rechtlicher Hinsicht zu einer Beanstandung Anlass. Es kann auf die ausführliche vorinstanzliche Begründung verwiesen werden. Die Vorbringen in der Beschwerde dazu sind unbegründet. Für das Valideneinkommen hat das kantonale Gericht zu Recht auf den Tabellenlohn für die bisherige Tätigkeit im Textilgewerbe abgestellt. Seitens des Invalideneinkommens hat es den Abzug vom Tabellenlohn in willkürfreier Weise auf 10 % festgesetzt und den gesundheitlichen Einbussen in der Leistungsfähigkeit sowie der längeren Abstinenz vom Arbeitsmarkt gebührend Rechnung getragen, zumal der Abzug nach der Rechtsprechung auf maximal 25 % beschränkt ist ( BGE 129 V 472 E. 4.3.2 S. 481, 126 V 75 E. 5 S. 78 ff.). Schliesslich ist die Vorinstanz gestützt auf die Kriterien der Rechtsprechung (zurückgelegtes 55. Altersjahr oder Rentenbezugsdauer von 15 Jahren; vgl. Urteile 9C_367/2011 vom 10. August 2011, E. 3, und 9C_11/2012 vom 28. Februar 2012, E. 2.2.2) zutreffend auch von einer zumutbaren Selbsteingliederung ausgegangen.</w:t>
      </w:r>
    </w:p>
    <w:p>
      <w:r>
        <w:rPr>
          <w:b/>
        </w:rPr>
        <w:t>E. 4</w:t>
      </w:r>
    </w:p>
    <w:p>
      <w:r>
        <w:t>Dem Ausgang des Verfahrens entsprechend hat die Beschwerdeführerin grundsätzlich die Gerichtskosten zu tragen ( Art. 66 Abs. 1 BGG ). Ihrem Gesuch um unentgeltliche Prozessführung und Verbeiständung kann jedoch entsprochen werden ( Art. 64 BGG ; BGE 125 V 201 E. 4a S. 202), da die Voraussetzungen hiefür gegeben sind.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