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22/2011 vom 16. Mai 2011</w:t>
      </w:r>
    </w:p>
    <w:p>
      <w:r>
        <w:t>Bundesgericht, 2011-05-16, FR</w:t>
      </w:r>
    </w:p>
    <w:p>
      <w:r>
        <w:rPr>
          <w:b/>
        </w:rPr>
        <w:t xml:space="preserve">Quelle: </w:t>
      </w:r>
      <w:r>
        <w:t>https://mcp.opencaselaw.ch/entscheid/bger_9C_22_2011</w:t>
      </w:r>
    </w:p>
    <w:p>
      <w:r>
        <w:t>FR: TF 9C 22/2011 du 16 mai 2011</w:t>
      </w:r>
    </w:p>
    <w:p>
      <w:r>
        <w:t>IT: TF 9C 22/2011 del 16 maggio 2011</w:t>
      </w:r>
    </w:p>
    <w:p>
      <w:pPr>
        <w:pStyle w:val="Heading2"/>
      </w:pPr>
      <w:r>
        <w:t>Regeste</w:t>
      </w:r>
    </w:p>
    <w:p>
      <w:r>
        <w:t>Assurance-invalidité | Assurance-invalidité</w:t>
      </w:r>
    </w:p>
    <w:p>
      <w:pPr>
        <w:pStyle w:val="Heading2"/>
      </w:pPr>
      <w:r>
        <w:t>Erwägungen</w:t>
      </w:r>
    </w:p>
    <w:p>
      <w:r>
        <w:rPr>
          <w:b/>
        </w:rPr>
        <w:t>E. 1</w:t>
      </w:r>
    </w:p>
    <w:p>
      <w:r>
        <w:t>Dans un recours en matière de droit public les conclusions qui, formellement, sont de nature uniquement cassatoire, sont en principe irrecevables ( ATF 133 II 409 consid. 1.4 p. 414). On peut toutefois déduire du recours que la recourante requiert le renvoi de la cause à l'instance cantonale pour instruction complémentaire et nouvelle décision. Ces conclusions, interprétées à la lumière des motifs du recours, sont recevables.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La recourante a versé en procédure fédérale un certificat médical du docteur H.________, du 22 décembre 2010. Cet élément constitue toutefois un moyen de preuve nouveau qui ne peut être pris en considération ( art. 99 al. 1 LTF ).</w:t>
      </w:r>
    </w:p>
    <w:p>
      <w:r>
        <w:rPr>
          <w:b/>
        </w:rPr>
        <w:t>E. 4.1</w:t>
      </w:r>
    </w:p>
    <w:p>
      <w:r>
        <w:t>Les premiers juges ont considéré qu'aucun élément au dossier ne permettait de remettre en cause les expertises (principale et complémentaire) de la clinique Y.________, de telle sorte qu'il y avait lieu d'admettre que la recourante disposait d'une capacité de travail de 70 % dans son ancienne activité et de 85 à 90 % dans une activité adaptée évitant les travaux lourds et permettant des positions alternées. Compte tenu de ces éléments, il résultait de la comparaison des revenus un taux d'invalidité de 28 %, insuffisant pour justifier l'octroi d'une rente.</w:t>
      </w:r>
    </w:p>
    <w:p>
      <w:r>
        <w:rPr>
          <w:b/>
        </w:rPr>
        <w:t>E. 4.2</w:t>
      </w:r>
    </w:p>
    <w:p>
      <w:r>
        <w:t>La recourante se plaint en substance d'une constatation manifestement inexacte des faits consécutive à une mauvaise appréciation des preuves. Selon elle, l'instance cantonale n'aurait dû accorder pleine valeur probante ni à l'expertise principale, ni à l'expertise complémentaire, les conditions posées par la jurisprudence n'étant pas remplies. Le rapport d'expertise principale ne serait pas fiable, ne faisant état ni d'une lombosciatique algoparesthésiante, ni d'une hernie discale, qui pourtant auraient été toutes deux présentes déjà à l'époque où ce document a été rédigé. Il comporterait en outre une contradiction, en ce sens qu'il admettrait d'une part que le pronostic de reprise du travail reste peu favorable vu le phénomène de chronicisation et les différentes pathologies cumulées et refuserait d'autre part de tenir compte de ces éléments à leur juste valeur. Enfin, s'étant trouvés dans l'incapacité d'objectiver ses plaintes, les médecins de la clinique Y.________ auraient préféré les ignorer, les considérant comme exagérées. Quant au rapport d'expertise complémentaire, il ne reposerait sur aucun examen clinique. Les rapports du service d'anesthésiologie de Z.________ et du docteur G.________ attesteraient au surplus du caractère incomplet de l'expertise complémentaire.</w:t>
      </w:r>
    </w:p>
    <w:p>
      <w:r>
        <w:rPr>
          <w:b/>
        </w:rPr>
        <w:t>E. 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 ATF 125 V 351 consid. 3a p. 352; ATF 122 V 157 consid. 1c p. 160 et les références; arrêt 9C_1023/2008 du 30 juin 2009 consid. 2.1.1).</w:t>
      </w:r>
    </w:p>
    <w:p>
      <w:r>
        <w:rPr>
          <w:b/>
        </w:rPr>
        <w:t>E. 6</w:t>
      </w:r>
    </w:p>
    <w:p>
      <w:r>
        <w:t>En l'occurrence, il n'y a pas lieu de s'écarter de l'appréciation qu'a faite la juridiction cantonale des moyens de preuve dont elle disposait. Les rapports d'expertise (principale et complémentaire) de la clinique Y.________ remplissent toutes les exigences formelles auxquelles la jurisprudence soumet la valeur probante de tels documents. Les conclusions rendues par les experts résultent d'une analyse complète de la situation médicale - objective et subjective. Elles sont claires et convaincantes. Certes, l'expertise principale ne fait pas état d'une hernie discale, ni d'une lombosciatique algoparesthésiante. Cela ne saurait cependant mettre en doute sa valeur probante, d'autant qu'aucun élément de nature médicale ressortant du dossier ne supporte l'affirmation de la recourante selon laquelle ces problèmes rachidiens seraient antérieurs à la première expertise. Les experts ne se contredisent nullement en émettant d'une part des réserves quant aux chances de reprise d'une activité professionnelle, tout en retenant d'autre part une capacité résiduelle de travail élevée. Ce faisant, ils ne font que mettre en lumière l'existence de divergences entre la situation médicale constatée objectivement et la position subjective de la recourante par rapport à son trouble. Les plaintes de la recourante n'ont pas été ignorées mais relativisées: son manque de collaboration, ses importantes contradictions et les nombreux bénéfices secondaires évoquaient, selon les experts, une tendance à la majoration des symptômes. S'agissant du rapport d'expertise complémentaire établi par le docteur B.________, il ressort à la lecture de celui-ci que la recourante a fait l'objet d'un examen clinique complet portant sur l'appareil locomoteur. Rien n'indique, et la recourante ne prétend pas le contraire, que celui-ci aurait été fait à la hâte et sans le soin requis. Les documents produits par la recourante ne permettent enfin pas de remettre en question les conclusions des experts. Le rapport du service d'anesthésiologie de Z.________ et celui du docteur G.________ ne comprennent aucun élément dont on pourrait inférer une capacité résiduelle de travail différente de celle retenue par les médecins de la clinique Y.________. Au contraire, ces documents tendent à confirmer certaines constatations faites par le docteur B.________, telle la présence d'une très légère protusion L3/L4 et L4/L5 et une mobilité lombaire très réduite.</w:t>
      </w:r>
    </w:p>
    <w:p>
      <w:r>
        <w:rPr>
          <w:b/>
        </w:rPr>
        <w:t>E. 7</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