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227/2024 vom 30. April 2024</w:t>
      </w:r>
    </w:p>
    <w:p>
      <w:r>
        <w:t>Bundesgericht, 2024-04-30, IT</w:t>
      </w:r>
    </w:p>
    <w:p>
      <w:r>
        <w:rPr>
          <w:b/>
        </w:rPr>
        <w:t xml:space="preserve">Quelle: </w:t>
      </w:r>
      <w:r>
        <w:t>https://mcp.opencaselaw.ch/entscheid/bger_9C_227_2024</w:t>
      </w:r>
    </w:p>
    <w:p>
      <w:r>
        <w:t>FR: TF 9C 227/2024 du 30 avril 2024</w:t>
      </w:r>
    </w:p>
    <w:p>
      <w:r>
        <w:t>IT: TF 9C 227/2024 del 30 aprile 2024</w:t>
      </w:r>
    </w:p>
    <w:p>
      <w:pPr>
        <w:pStyle w:val="Heading2"/>
      </w:pPr>
      <w:r>
        <w:t>Regeste</w:t>
      </w:r>
    </w:p>
    <w:p>
      <w:r>
        <w:t>Canone per le economie domestiche di tipo privato e le collettività secondo art. 69 ff. LRTV | Mass media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vengono prelevate spese.</w:t>
      </w:r>
    </w:p>
    <w:p>
      <w:r>
        <w:rPr>
          <w:b/>
        </w:rPr>
        <w:t>E. 3</w:t>
      </w:r>
    </w:p>
    <w:p>
      <w:r>
        <w:t>Comunicazione alle parti e al Tribunale amministrativo federale, Corte I. Lucerna, 30 aprile 2024 In nome della III Corte di diritto pubblico del Tribunale federale svizzero Il Presidente: Parrino Il Cancelliere: Savoldelli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