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227/2014 vom 18. Dezember 2014</w:t>
      </w:r>
    </w:p>
    <w:p>
      <w:r>
        <w:t>Bundesgericht, 2014-12-18, DE</w:t>
      </w:r>
    </w:p>
    <w:p>
      <w:r>
        <w:rPr>
          <w:b/>
        </w:rPr>
        <w:t xml:space="preserve">Quelle: </w:t>
      </w:r>
      <w:r>
        <w:t>https://mcp.opencaselaw.ch/entscheid/bger_9C_227_2014</w:t>
      </w:r>
    </w:p>
    <w:p>
      <w:r>
        <w:t>FR: TF 9C 227/2014 du 18 décembre 2014</w:t>
      </w:r>
    </w:p>
    <w:p>
      <w:r>
        <w:t>IT: TF 9C 227/2014 del 18 dicembre 2014</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Artikel 95 beruht ( Art. 105 Abs. 2 BGG ).</w:t>
      </w:r>
    </w:p>
    <w:p>
      <w:r>
        <w:rPr>
          <w:b/>
        </w:rPr>
        <w:t>E. 1.1.1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1.1.2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 1.3, nicht publ. in: BGE 133 III 421 ).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2.1.1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2.1.2</w:t>
      </w:r>
    </w:p>
    <w:p>
      <w:r>
        <w:t>Art. 52 Abs. 1 BVG , dessen Anwendungsbereich sich auch auf die weitergehende Vorsorge erstreckt ( Art. 49 Abs. 2 Ziff. 8 BVG ; Art. 89bis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Darunter fallen insbesondere die Organe der Vorsorgeeinrichtung, im vorliegenden Fall der Stiftungsrat (vgl. Art. 51 BVG ). Diese Organeigenschaft kann wie im Rahmen der Verantwortlichkeitsvorschrift von Art. 52 AHVG auch eine bloss faktische sein.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(BGE a.a.O. E. 4e S. 132).</w:t>
      </w:r>
    </w:p>
    <w:p>
      <w:r>
        <w:rPr>
          <w:b/>
        </w:rPr>
        <w:t>E. 2.2.1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1.1 mit Hinweis auf BGE 130 V 227 E. 2.1 S. 280 und SVR 2008 BVG Nr. 33 S. 135, 9C_92/2007 E. 1.3).</w:t>
      </w:r>
    </w:p>
    <w:p>
      <w:r>
        <w:rPr>
          <w:b/>
        </w:rPr>
        <w:t>E. 2.2.2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nationalrätlichen Kommission für soziale Sicherheit und Gesundheit vom 21./22. Februar 2002 S. 44; Protokoll der ständerätlichen Kommission für soziale Sicherheit und Gesundheit vom 4./5. November 2002 S. 22). Diesbezüglich kann somit weiterhin auf die zur früheren Regelung ergangene Rechtsprechung (vgl. E. 2.2.1) abgestellt werden.</w:t>
      </w:r>
    </w:p>
    <w:p>
      <w:r>
        <w:rPr>
          <w:b/>
        </w:rPr>
        <w:t>E. 2.2.3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33 Mio. Fr. erbracht. Damit ist die neue, bis Ende 2011 gültige Fassung von Art. 56a Abs. 1 BVG anzuwenden.</w:t>
      </w:r>
    </w:p>
    <w:p>
      <w:r>
        <w:rPr>
          <w:b/>
        </w:rPr>
        <w:t>E. 2.3</w:t>
      </w:r>
    </w:p>
    <w:p>
      <w:r>
        <w:t>Art. 52 Abs. 1 BVG und Art. 56a Abs. 1 BVG haben wohl zwei verschiedene "Schadensarten" zum Inhalt, einerseits den Schaden, der bei der Stiftung eingetreten ist ( Art. 52 BVG ), anderseits denjenigen, der beim Beschwerdegegner selber angefallen ist ( Art. 56a BVG ). Dessen ungeachtet ist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 gekommen (vgl. E. 6).</w:t>
      </w:r>
    </w:p>
    <w:p>
      <w:r>
        <w:rPr>
          <w:b/>
        </w:rPr>
        <w:t>E. 3</w:t>
      </w:r>
    </w:p>
    <w:p>
      <w:r>
        <w:t>Die Vorinstanz hat für das Bundesgericht verbindlich und richtig festgestellt (vgl. E. 1 vorne), dass die Stiftung alle ihre Ansprüche, die sie gegen die Beklagten 1-13 zu haben glaubt, somit auch den aus Art. 52 BVG fliessenden Verantwortlichkeitsanspruch, formell korrekt an den Beschwerdegegner abgetreten hat (E. 4.2.1 S. 46 des angefochtenen Entscheids). Mit Erklärung vom 13. Dezember 2010 trat dieser zudem gestützt auf Art. 56a Abs. 1 BVG in die Verantwortlichkeitsansprüche der Stiftung gegenüber den Beklagten 1-13 ein. In Anbetracht der materiellen Organstellung der Beschwerdeführer als Stiftungsräte steht hier Art. 52 Abs. 1 BVG als Anspruchsgrundlage im Vordergrund (vgl. E. 2.1.2 vorne). Die Beschwerdeführer werden aber auch gestützt auf Art. 56a BVG ins Recht gefasst (E. 5.4 S. 305 des vorinstanzlichen Entscheids). Nachdem es dabei um ein und denselben Schaden geht (vgl. E. 2.3 vorne), sind mit der Erfüllung der Haftungsvoraussetzungen von Art. 52 Abs. 1 BVG (Schaden, Sorgfaltspflichtverletzung, Verschulden, adäquater Kausalzusammenhang) selbstredend auch diejenigen von Art. 56a Abs. 1 BVG erfüllt (vgl. E. 2.2.1 Abs. 2 vorne).</w:t>
      </w:r>
    </w:p>
    <w:p>
      <w:r>
        <w:rPr>
          <w:b/>
        </w:rPr>
        <w:t>E. 4.1</w:t>
      </w:r>
    </w:p>
    <w:p>
      <w:r>
        <w:t>Was den Schaden betrifft, so hat das kantonale Gericht erwogen, die Abflüsse der Stiftung seien bis zur Höhe von Fr. 30'553'230.39 ausreichend substanziiert und würden von den Beschwerdeführern nicht substanziell bestritten (E. 4.3.4.6 i.f. S. 65 des angefochtenen Entscheids). Diese hätten insbesondere nicht geltend gemacht, dass die Abflüsse rechtmässig gewesen seien (a.a.O. E. 4.3.5 S. 65). Die Beschwerdeführer widersprechen diesen Feststellungen, die für das Bundesgericht verbindlich sind (vgl. E. 1.1 vorne), nicht, sondern bringen vor, die Höhe des Schadens stehe noch gar nicht fest, weil sich ein Teil der abgeflossenen - und im Strafverfahren beschlagnahmten - Gelder wieder zurückführen lasse resp. die Gelder sich bei sorgfältiger Liquidation hätten zurückführen lassen. Möglicherweise werde zudem das BSV bzw. die Eidgenossenschaft zur teilweisen Schadensdeckung verpflichtet. Letzterer Einwand bleibt von vornherein ohne Einfluss auf die Schadenshöhe als solche. Er berührt die Solidarität (vgl. E. 6 hinten), wobei die Verantwortlichkeit der (damaligen) Aufsichtsbehörde nicht Gegenstand des vorliegenden Verfahrens bildet. Soweit die Beschwerdeführer meinen, es liessen sich noch Gelder zurückführen resp. bei umsichtiger (er) Liquidation hätten sich Werte noch zurückführen lassen, setzen sie sich mit den diesbezüglichen Erwägungen der Vorinstanz mit keinem Wort auseinander. Damit genügt die Beschwerde in diesem Punkt den Rügeanforderungen nicht. Die Darlegung der eigenen Sicht der Dinge resp. rein appellatorische Kritik wird diesen nicht gerecht. Es bleibt daher beim vorinstanzlichen Beweisschluss (vgl. E. 1.1 vorne), wonach die Stiftung in Liquidation alles daran gesetzt hat resp. die Liquidatoren sich mit gebotenen Schritten darum bemüht haben, die unrechtmässig abgeflossenen Mittel wieder zurückzuholen, und es überwiegend wahrscheinlich ist, dass sich der Schadensbetrag nicht mehr verringern wird (E. 4.3.6.3 S. 84 ff. und 4.3.6.4 S. 88 ff. des angefochtenen Entscheids). Dass sich der eingeklagte Schaden infolge Freigabe der beschlagnahmten Gelder noch reduzieren könnte, ist auch deshalb unwahrscheinlich, weil hier lediglich über einen Teilschaden befunden wird (vgl. Sachverhalt lit. B.a in fine). Der Fehlbetrag im Zeitpunkt der Aufhebung der Stiftung lag über 33 Mio. Fr. (vgl. Sachverhalt lit. A.b Abs. 2) und hat sich seit dem Liquidationsbeschluss um mindestens weitere 2,6 Mio. Fr. erhöht, wie die Vorinstanz für das Bundesgericht verbindlich festgestellt hat (vgl. E. 1.1 vorne; E. 4.3.6.3 i.f. S. 88 des vorinstanzlichen Entscheids). Grundsätzlich ebenfalls als Schaden zu berücksichtigen wäre zudem der (ebenfalls eingeklagte) entgangene Gewinn bzw. die entgangene Rendite. Im Übrigen kann der Sicherheitsfonds, wenn das Ausmass des Schadens im Zeitpunkt der Klageanhebung weder exakt noch annähernd bestimmbar ist, weil die Höhe des Erlöses aus der Liquidation der Vorsorgeeinrichtung noch nicht feststeht, gleichwohl den gesamten Schaden geltend machen, sofern der Liquidationserlös an den Schadensverursacher abgetreten wird ( BGE 139 V 176 E. 9.2 S. 191 f.).</w:t>
      </w:r>
    </w:p>
    <w:p>
      <w:r>
        <w:rPr>
          <w:b/>
        </w:rPr>
        <w:t>E. 4.2</w:t>
      </w:r>
    </w:p>
    <w:p>
      <w:r>
        <w:t>Bei dieser Sach- und Rechtslage war es nicht angezeigt, den Ausgang der andernorts anhängigen Straf- und Schadenersatzverfahren (vgl. Sachverhalt lit. A.b) abzuwarten. Hierfür besteht auch für das Bundesgericht kein Anlass. Ebenso wenig bedarf es der Edition der Zuger Strafakten.</w:t>
      </w:r>
    </w:p>
    <w:p>
      <w:r>
        <w:rPr>
          <w:b/>
        </w:rPr>
        <w:t>E. 5</w:t>
      </w:r>
    </w:p>
    <w:p>
      <w:r>
        <w:t>Die Beschwerdeführer bestreiten die ihnen vorgeworfenen Sorgfaltspflichtverletzungen und den adäquaten Kausalzusammenhang zwischen Schaden und schuldhafter Pflichtwidrigkeit nicht. Dagegen stellen sie in Abrede, vorsätzlich oder grobfahrlässig gehandelt zu haben. Es könne höchstens von leichter Fahrlässigkeit ausgegangen werden. Sie bringen indessen nichts vor, was die tatsächlichen Feststellungen der Vorinstanz - u.a. keine Instruktion der externen Vermögensverwaltung über eine Anlagestrategie, vom Moment des Beitritts zum Stiftungsrat bis zur Suspendierung keinerlei Überwachungsanstrengungen, Unterlassen selbst einfachster Kontrollmassnahmen - als mangelhaft erscheinen liesse (vgl. E. 1.1 vorne). Angesichts dieser elementaren Versäumnisse erweist sich die vorinstanzliche Qualifikation des Verhaltens der Beschwerdeführer als grobfahrlässig nicht als bundesrechtswidrig.</w:t>
      </w:r>
    </w:p>
    <w:p>
      <w:r>
        <w:rPr>
          <w:b/>
        </w:rPr>
        <w:t>E. 6</w:t>
      </w:r>
    </w:p>
    <w:p>
      <w:r>
        <w:t>Nach dem Gesagten sind sämtliche Haftungsvoraussetzungen von Art. 52 Abs. 1 bzw. Art. 56a BVG erfüllt. Es ist sowohl ein Schaden als auch eine Sorgfaltspflichtverletzung wie auch ein Verschulden und ein adäquater Kausalzusammenhang gegeben. Streitig und zu prüfen ist schliesslich, für welchen Schadensbetrag die Beschwerdeführer vom Sicherheitsfonds belangt werden können.</w:t>
      </w:r>
    </w:p>
    <w:p>
      <w:r>
        <w:rPr>
          <w:b/>
        </w:rPr>
        <w:t>E. 6.1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 einander gehandelt, haftet jeder Einzelne nur in dem Umfang, in dem er den Schaden verursacht hat (unechte Solidarität). Mit anderen Worten ist Solidarität nur im Ausmass des von der einzelnen Person zu Verantwortenden gegeben. Diese allgemeine Regel gilt auch bezüglich Art. 56a BVG ( BGE 139 V 176 E. 8.5 S. 190 f. mit weiteren Hinweisen auf die Rechtsprechung; vgl. auch ISABELLE VETTER-SCHREIBER, BVG, FZG: Kommentar, 3. Aufl. 2013, N. 3 zu Art. 56a BVG ), welche Bestimmung im vorliegend zu erörternden Punkt vor allem interessiert, da sie - was den haftpflichtigen Personenkreis betrifft - über die Organhaftung hinaus geht (vgl. E. 2.2.1 Abs. 2 vorne).</w:t>
      </w:r>
    </w:p>
    <w:p>
      <w:r>
        <w:rPr>
          <w:b/>
        </w:rPr>
        <w:t>E. 6.2</w:t>
      </w:r>
    </w:p>
    <w:p>
      <w:r>
        <w:t>Die mit Art. 759 Abs. 1 OR eingeführte differenzierte Solidarität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(Urteil 6B_54/2008 vom 9. Mai 2008 E. 10.4 m.H.a. BGE 132 III 564 E. 7 S. 577 f.; GERICKE/WALLER, in: Basler Kommentar, Obligationenrecht, Bd. II, 4. Aufl. 2012, N. 4 zu Art. 759 OR ). Es kann (weiterhin) offen 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Trigo Trindade/Anderson [Hrsg.], Institutions de prévoyance: devoirs et responsabilité civile, 2006, S. 161 f.). Das kantonale Gericht hat einlässlich dargelegt, dass - soweit überhaupt ersichtlich und geltend gemacht - kein Herabsetzungsgrund nach Art. 43 Abs. 1 OR und dem hier in Frage kommenden Art. 44 Abs. 2 OR besteht (E. 4.5.4 S. 119 f. des vorinstanzlichen Entscheids). Ihm kommt dabei ein weites Ermessen zu ( BGE 131 III 12 E. 4.2 S. 15 mit Hinweis), bei dessen Überprüfung das Bundesgericht Zurückhaltung übt.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131 III 12 E. 4.2 S. 15). Davon kann hier - insbesondere in Anbetracht von E. 5 vorne - nicht die Rede sein.</w:t>
      </w:r>
    </w:p>
    <w:p>
      <w:r>
        <w:rPr>
          <w:b/>
        </w:rPr>
        <w:t>E. 6.3</w:t>
      </w:r>
    </w:p>
    <w:p>
      <w:r>
        <w:t>Nachdem die Beschwerdeführer dem Stiftungsrat von der Stiftungsgründung bis zur Suspendierung resp. Amtsenthebung angehörten und entsprechend in der Verantwortung stehen, haben sie - in Übereinstimmung mit der Vorinstanz - für den gesamten Schaden, der eingeklagt ist (30 Mio. Fr.), einzustehen.</w:t>
      </w:r>
    </w:p>
    <w:p>
      <w:r>
        <w:rPr>
          <w:b/>
        </w:rPr>
        <w:t>E. 7</w:t>
      </w:r>
    </w:p>
    <w:p>
      <w:r>
        <w:t>Damit erweist sich die Beschwerde insgesamt als unbegründet und ist abzuweisen. Indes ist die vorinstanzliche Dispositiv-Ziffer 1 im Sinne der - ebenfalls heute ergangenen - Urteile 9C_248/2014 E. 9.4 und 9C_230/2014 von Amtes wegen abzuändern.</w:t>
      </w:r>
    </w:p>
    <w:p>
      <w:r>
        <w:rPr>
          <w:b/>
        </w:rPr>
        <w:t>E. 8</w:t>
      </w:r>
    </w:p>
    <w:p>
      <w:r>
        <w:t>Die elf Beschwerdeverfahren, welche ein und denselben angefochtenen Entscheid betreffen, wurden zwar nicht formell vereinigt (vgl. Urteil 9C_246/2014 E. 2.1). Dennoch sind die jeweiligen Gerichtskosten auf der Grundlage einer gesamthaften Gerichtsgebühr (für alle elf Verfahren zusammen) von rund Fr. 50'000.- festzusetzen ( Art. 65 BGG ; Tarif für die Gerichtsgebühren im Verfahren vor dem Bundesgericht [SR 173.110.210.1]). Dem Verfahrensausgang entsprechend gehen die (anteilsmässigen) Gerichtskosten zu Lasten der Beschwerdeführer; diese haften hierfür solidarisch ( Art. 66 Abs. 1 und 5 BGG ). Das Gesuch um Kostenerlass ist infolge Aussichtslosigkeit und mangels Darlegung der Bedürftigkeit abzuweisen. Dem anwaltlich nicht vertretenen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