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9C_227/2013 vom 10. September 2013</w:t>
      </w:r>
    </w:p>
    <w:p>
      <w:r>
        <w:t>Bundesgericht, 2013-09-10, FR</w:t>
      </w:r>
    </w:p>
    <w:p>
      <w:r>
        <w:rPr>
          <w:b/>
        </w:rPr>
        <w:t xml:space="preserve">Quelle: </w:t>
      </w:r>
      <w:r>
        <w:t>https://mcp.opencaselaw.ch/entscheid/bger_9C_227_2013</w:t>
      </w:r>
    </w:p>
    <w:p>
      <w:r>
        <w:t>FR: TF 9C_227/2013 du 10 septembre 2013</w:t>
      </w:r>
    </w:p>
    <w:p>
      <w:r>
        <w:t>IT: TF 9C_227/2013 del 10 settembre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l'espèce sur le droit de la recourante à une rente d'invalidité. Étant donné les griefs de l'assurée (cf. recours, consid. 4.1 p. 7 sv.) ainsi que les exigences de motivation et d'allégation de l' art. 42 al. 2 LTF (cf. ATF 133 III 545 consid. 2.2 p. 550; cf. aussi Florence Aubry Girardin,</w:t>
      </w:r>
    </w:p>
    <w:p>
      <w:r>
        <w:t>in: Commentaire de la LTF, 2009, n° 25 ad art. 42 LTF ), il s'agit plus particulièrement de déterminer si la juridiction cantonale a violé les principes régissant l'appréciation des preuves. L'acte attaqué expose correctement les dispositions légales et les principes jurisprudentiels nécessaires à la résolution du litige. Il suffit d'y renvoyer.</w:t>
      </w:r>
    </w:p>
    <w:p>
      <w:r>
        <w:rPr>
          <w:b/>
        </w:rPr>
        <w:t>E. 3.1</w:t>
      </w:r>
    </w:p>
    <w:p>
      <w:r>
        <w:t>La recourante reproche pour l'essentiel aux premiers juges d'avoir fondé leur décision sur le rapport du docteur A.________ alors que l'ensemble des médecins traitants ne partageaient pas les conclusions de ce praticien quant à sa capacité résiduelle de travail. Elle soutient que les considérations du tribunal cantonal n'ont pas levé les importantes contradictions ressortant du dossier médical (début de l'aptitude au placement, détermination des limitations fonctionnelles) et que celui-ci a indûment écarté les avis du docteur G.________ en raison d'un soi-disant défaut de motivation ou omis d'instruire la problématique psychiatrique.</w:t>
      </w:r>
    </w:p>
    <w:p>
      <w:r>
        <w:rPr>
          <w:b/>
        </w:rPr>
        <w:t>E. 3.2</w:t>
      </w:r>
    </w:p>
    <w:p>
      <w:r>
        <w:t>On peut douter de la recevabilité d'une telle argumentation dès lors qu'elle ne tente pas de démonter en quoi le raisonnement circonstancié de la juridiction cantonale serait erroné mais se borne à reprendre succinctement les griefs exposés en première instance auxquels il a été répondu exhaustivement. Ce point peut cependant rester indécis dans la mesure où ladite argumentation est manifestement infondée. En effet, les seules allégations, non motivées, de l'assurée concernant l'existence de contradictions non résolues ou d'un défaut d'instruction sur certains points de la situation ne peuvent valablement remettre en question une appréciation des preuves qui, conformément aux principes régissant la matière, explique en détail pourquoi chaque avis émanant des médecins traitants ne saurait susciter le moindre doute quant à la pleine valeur probante du rapport d'examen clinique rhumatologique, pourquoi les nouvelles mesures thérapeutiques entreprises ne changent rien à la situation médicale pertinente, pourquoi un avis médical prévaut sur des observations faites lors d'un stage qui n'était de surcroît pas destiné à évaluer les limitations fonctionnelles de la recourante, pourquoi il n'était pas nécessaire de procéder à des investigations psychiatriques et pourquoi le fait de ne pas préciser ce qu'il fallait entendre par activité adaptée n'était pas pertinent dans le cas particulier. Le recours doit donc être rejeté.</w:t>
      </w:r>
    </w:p>
    <w:p>
      <w:r>
        <w:rPr>
          <w:b/>
        </w:rPr>
        <w:t>E. 4</w:t>
      </w:r>
    </w:p>
    <w:p>
      <w:r>
        <w:t>Manifestement infondé, le recours doit être rejeté sans échange d'écritures selon la procédure simplifiée prévue à l' art. 109 al. 2 let. a LTF et les frais judiciaires doivent être mis à la charge de l'assurée ( art. 66 al. 1 LTF ) qui ne saurait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