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9C_227/2010 vom 31. Mai 2010</w:t>
      </w:r>
    </w:p>
    <w:p>
      <w:r>
        <w:t>Bundesgericht, 2010-05-31, DE</w:t>
      </w:r>
    </w:p>
    <w:p>
      <w:r>
        <w:rPr>
          <w:b/>
        </w:rPr>
        <w:t xml:space="preserve">Quelle: </w:t>
      </w:r>
      <w:r>
        <w:t>https://mcp.opencaselaw.ch/entscheid/bger_9C_227_2010</w:t>
      </w:r>
    </w:p>
    <w:p>
      <w:r>
        <w:t>FR: TF 9C_227/2010 du 31 mai 2010</w:t>
      </w:r>
    </w:p>
    <w:p>
      <w:r>
        <w:t>IT: TF 9C_227/2010 del 31 maggio 2010</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Im angefochtenen Entscheid werden die Bestimmungen über den Begriff der Invalidität ( Art. 8 ATSG , Art. 4 IVG ), die Voraussetzungen für einen Rentenanspruch und dessen Umfang ( Art. 28 IVG ), die Ermittlung des Invaliditätsgrades bei erwerbstätigen Versicherten nach der allgemeinen Methode des Einkommensvergleichs ( Art. 28a IVG , Art. 16 ATSG ) und bei teilerwerbstätigen Versicherten nach der gemischten Methode (früher aArt. 28 Abs. 2ter IVG in Verbindung mit Art. 27bis IVV , seit 1. Januar 2008 Art. 28a Abs. 3 IVG ) sowie die dazu und zum Beweiswert eines Arztberichtes oder Gutachtens ergangene Rechtsprechung ( BGE 125 V 351 E. 3a S. 352; RKUV 2003 Nr. U 487 S. 345 E. 5.1 [U 38/01]) zutreffend angegeben. Darauf wird verwiesen.</w:t>
      </w:r>
    </w:p>
    <w:p>
      <w:r>
        <w:rPr>
          <w:b/>
        </w:rPr>
        <w:t>E. 3</w:t>
      </w:r>
    </w:p>
    <w:p>
      <w:r>
        <w:t>Streitig ist der Rentenanspruch, namentlich Art und Ausmass der Arbeitsunfähigkeit. Unbestritten sind die Höhe des von der Vorinstanz berücksichtigten Valideneinkommens und der Anteil der Berufstätigkeit von 70 %.</w:t>
      </w:r>
    </w:p>
    <w:p>
      <w:r>
        <w:rPr>
          <w:b/>
        </w:rPr>
        <w:t>E. 3.1</w:t>
      </w:r>
    </w:p>
    <w:p>
      <w:r>
        <w:t>Die Beschwerdeführerin lässt die offensichtlich unrichtige Feststellung des Sachverhaltes durch die Vorinstanz rügen, wozu sie einzig vorbringt, die in der Replik vom 7. Oktober 2009 angezeigte Sehbehinderung sei nicht berücksichtigt worden, obwohl der von der Augenärztin Frau Dr. med. L._______ am 1. Oktober 2009 bescheinigte Zustand auf Befunden beruhe, die fünf Tage vor Verfügungserlass erhobenen worden und darum relevant seien. Die Sehbehinderung sei geeignet, den Invaliditätsgrad zu verändern.</w:t>
      </w:r>
    </w:p>
    <w:p>
      <w:r>
        <w:rPr>
          <w:b/>
        </w:rPr>
        <w:t>E. 3.2</w:t>
      </w:r>
    </w:p>
    <w:p>
      <w:r>
        <w:t>Es trifft zu, dass im angefochtenen Entscheid der Umstand nicht ausdrücklich erwähnt ist, wonach die Bescheinigung der Augenärztin auf Befunden "vom 29.6.2009" beruht, die somit einige Tage vor Verfügungserlass datieren. Wie die Verwaltung in der Duplik vom 14. Oktober 2009 aber richtig bemerkt, hat die Beschwerdeführerin erst in der Replik vorgebracht, es habe sich herausgestellt, dass sie unter einer erheblichen Sehbehinderung leide. Weder in der Anmeldung vom 27. (recte: 29.) Juni 2007 noch im Einwand vom 23. April 2009 noch in der Beschwerde vom 7. September 2009 hat sie geltend gemacht, an einer solchen zu leiden. Auch bei der Haushaltsabklärung am 13. März 2008 ist sie nicht erwähnt oder festgestellt worden; in allen ärztlichen Verlaufs- und Untersuchungsberichten fehlen entsprechende Hinweise.</w:t>
      </w:r>
    </w:p>
    <w:p>
      <w:r>
        <w:rPr>
          <w:b/>
        </w:rPr>
        <w:t>E. 3.3</w:t>
      </w:r>
    </w:p>
    <w:p>
      <w:r>
        <w:t>Die Augenärztin hat der Beschwerdeführerin am 1. Oktober 2009 eine Myopia per magna, also eine starke Fehlsichtigkeit attestiert (Fernsicht ohne Korrektur von 0.1 resp. 0.2). Bei der Myopie handelt es sich um einen Brechungsfehler des Auges, der durch ein Brillenglas weitgehend korrigierbar ist (HANS JOACHIM KÜCHLE/HOLGER BUSSE, Taschenbuch der Augenheilkunde, 3. Aufl. 1991, S. 43). Ein solches Leiden tritt in der Regel nicht spontan auf und ist meist durch ein anlagebedingtes vermehrtes Längenwachstum des Augapfels verursacht (A.A.O., S. 55). Es ist unwahrscheinlich, dass die Beschwerdeführerin mit der schon länger bestehenden, nur neu diagnostizierten Kurzsichtigkeit als Raumpflegerin/Zimmermädchen oder in einer Verweisungstätigkeit erheblich eingeschränkt ist, wofür sich im gesamten gründlichen Abklärungsverfahren keine Hinweise ergeben. Dem Zentrum X.________ als spezialisierter, erfahrener Abklärungsstelle wäre es aufgefallen, wenn sich die Einschränkung der Sehkraft behindernd auswirken würde. Die Rückweisung der Sache zur Klärung würde zu einem formalistischen Leerlauf mit unnötigen Kosten und Verzögerungen führen, ohne dass sich im Ergebnis etwas änderte. Damit hat es für die Zeit bis zum 3. Juli 2009 mit der Rentenablehnung sein Bewenden.</w:t>
      </w:r>
    </w:p>
    <w:p>
      <w:r>
        <w:rPr>
          <w:b/>
        </w:rPr>
        <w:t>E. 4</w:t>
      </w:r>
    </w:p>
    <w:p>
      <w:r>
        <w:t>Dem Ausgang des Verfahrens entsprechend hat die Beschwerdeführerin die Gerichtskosten zu tragen ( Art. 66 Abs. 1 BGG ). Ihrem Gesuch um unentgeltliche Rechtspflege wird entsprochen. Sie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