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224/2021 vom 29. November 2021</w:t>
      </w:r>
    </w:p>
    <w:p>
      <w:r>
        <w:t>Bundesgericht, 2021-11-29, DE</w:t>
      </w:r>
    </w:p>
    <w:p>
      <w:r>
        <w:rPr>
          <w:b/>
        </w:rPr>
        <w:t xml:space="preserve">Quelle: </w:t>
      </w:r>
      <w:r>
        <w:t>https://mcp.opencaselaw.ch/entscheid/bger_9C_224_2021</w:t>
      </w:r>
    </w:p>
    <w:p>
      <w:r>
        <w:t>FR: TF 9C 224/2021 du 29 novembre 2021</w:t>
      </w:r>
    </w:p>
    <w:p>
      <w:r>
        <w:t>IT: TF 9C 224/2021 del 29 novembre 2021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Immerhin prüft das Bundesgericht, unter Berücksichtigung der allgemeinen Begründungspflicht der Beschwerde ( Art. 42 Abs. 1 und 2 BGG ), grundsätzlich nur die geltend gemachten Rügen, sofern die rechtlichen Mängel nicht geradezu offensichtlich sind ( BGE 133 II 249 E. 1.4.1).</w:t>
      </w:r>
    </w:p>
    <w:p>
      <w:r>
        <w:rPr>
          <w:b/>
        </w:rPr>
        <w:t>E. 1.2</w:t>
      </w:r>
    </w:p>
    <w:p>
      <w:r>
        <w:t>Das vom Beschwerdeführer neu eingereichte Schreiben des Dr. med. D.________, Facharzt für Psychiatrie und Psychotherapie, vom 8. März 2021 ist als echtes Novum von vornherein unzulässig (vgl. Art. 99 Abs. 1 BGG ; BGE 143 V 19 E. 1.2 mit Hinweisen).</w:t>
      </w:r>
    </w:p>
    <w:p>
      <w:r>
        <w:rPr>
          <w:b/>
        </w:rPr>
        <w:t>E. 2.1</w:t>
      </w:r>
    </w:p>
    <w:p>
      <w:r>
        <w:t>Streitig und zu prüfen ist, ob Bundesrecht verletzt wurde, indem die Vorinstanz den Rentenanspruch des Beschwerdeführers verneint hat.</w:t>
      </w:r>
    </w:p>
    <w:p>
      <w:r>
        <w:rPr>
          <w:b/>
        </w:rPr>
        <w:t>E. 2.2.1</w:t>
      </w:r>
    </w:p>
    <w:p>
      <w:r>
        <w:t>Die für die Beurteilung der Streitsache massgeblichen rechtlichen Grundlagen wurden im angefochtenen Entscheid zutreffend dargelegt. Es betrifft dies insbesondere die Bestimmungen und Grundsätze zur Invalidität ( Art. 8 Abs. 1 ATSG , Art. 7 ATSG ; vgl. auch Art. 6 ATSG zur Arbeitsunfähigkeit) sowie zur Beweiskraft medizinischer Grundlagen ( BGE 125 V 351 E. 3a und 3b; 125 V 256 E. 4; je mit Hinweisen; Urteil 9C_463/2013 vom 13. Januar 2014 E. 2.2 mit Hinweis). Gleiches gilt hinsichtlich der im Zusammenhang mit einer Neuanmeldung geltenden Grundsätze ( Art. 17 Abs. 1 ATSG , vgl. auch Art. 86ter -88 bis IVV ; BGE 141 V 9 E. 2.3 und 6.1; 133 V 108 ; 130 V 71 E. 3.2.3). Darauf wird verwiesen.</w:t>
      </w:r>
    </w:p>
    <w:p>
      <w:r>
        <w:rPr>
          <w:b/>
        </w:rPr>
        <w:t>E. 2.2.2</w:t>
      </w:r>
    </w:p>
    <w:p>
      <w:r>
        <w:t>Zu ergänzen ist, dass eine allfällige Arbeitsunfähigkeit bei psychischen Leiden ( BGE 143 V 409 E. 4.2.1; 143 V 418 ; 141 V 281 ) mittels eines strukturierten Beweisverfahrens zu beurteilen ist.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Bei ihrer Einschätzung des Leistungsvermögens haben sich sowohl die medizinischen Sachverständigen als auch die Organe der Rechtsanwendung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144 V 50 E. 4.3 mit Hinweisen).</w:t>
      </w:r>
    </w:p>
    <w:p>
      <w:r>
        <w:rPr>
          <w:b/>
        </w:rPr>
        <w:t>E. 2.2.3</w:t>
      </w:r>
    </w:p>
    <w:p>
      <w:r>
        <w:t>Im Hinblick auf die Beurteilung, ob ein psychisches Leiden invalidisierend wirkt, zählen als Tatsachenfeststellungen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Arbeitsunfähigkeit schliessen lassen (vgl. BGE 141 V 281 E. 7).</w:t>
      </w:r>
    </w:p>
    <w:p>
      <w:r>
        <w:rPr>
          <w:b/>
        </w:rPr>
        <w:t>E. 3.1</w:t>
      </w:r>
    </w:p>
    <w:p>
      <w:r>
        <w:t>Das kantonale Gericht hat dem Gutachten von Prof. Dr. med. habil. C.________ vom 24. Februar 2018 in diagnostischer Hinsicht Beweiskraft zuerkannt. Unter anderem nach Bezugnahme auf die Indikatoren ( BGE 141 V 281 , vgl. E. 2.2.2 hiervor) ist es betreffend Arbeitsfähigkeitsschätzung von der Expertise (80%ige Arbeitsunfähigkeit) abgewichen und hat im Ergebnis die rentenabweisende Verfügung vom 24. Januar 2019 bestätigt.</w:t>
      </w:r>
    </w:p>
    <w:p>
      <w:r>
        <w:rPr>
          <w:b/>
        </w:rPr>
        <w:t>E. 3.2</w:t>
      </w:r>
    </w:p>
    <w:p>
      <w:r>
        <w:t>Was der Beschwerdeführer dagegen vorbringt hält nicht stand.</w:t>
      </w:r>
    </w:p>
    <w:p>
      <w:r>
        <w:rPr>
          <w:b/>
        </w:rPr>
        <w:t>E. 3.2.1</w:t>
      </w:r>
    </w:p>
    <w:p>
      <w:r>
        <w:t>Die vorinstanzlichen Feststellungen zu den Indikatoren ( BGE 141 V 281 , vgl. E. 2.2.2 hiervor) betreffend die vom Gutachter festgestellte Diagnostik bleiben unbestritten. Dies gilt vorab für die Feststellung, wonach in Würdigung der psychosozialen Belastungsfaktoren von einem leichten funktionellen Schweregrad der (mittel- bis zunehmend schwergradigen) Depression auszugehen sei. Inwiefern diese offensichtlich unrichtig sein soll, ist nicht ersichtlich: So ist insbesondere im Rahmen der Beurteilung der Ausprägung der diagnoserelevanten Befunde den gemäss Experte C.________ multiplen psychosozialen Belastungsfaktoren "mit erheblichem Einfluss auf das Krankheitsgeschehen" (Expertise S. 84) Rechnung zu tragen. Zu Behandlungserfolg respektive -resistenz kann infolge nicht optimaler Compliance (Störung durch Sedativa und Hypnotika; schädlicher Gebrauch [von Benzodiazepinen], Expertise S. 83 und 87) keine Aussage gemacht werden. Sodann bestehen keine Komorbiditäten (Expertise S. 87). Hinsichtlich der Persönlichkeit liegen zwar mit den soziokulturellen Wertevorstellungen gewisse Auffälligkeiten vor, diese sind jedoch gemäss Einschätzung des Experten nicht krankheitswertig (Schwierigkeiten bei der kulturellen Eingewöhnung [Sprachschwierigkeiten, überdauernde südosteuropäisch geprägte Wertevorstellungen], Expertise S. 87). Hinweise für einen Verlust der sozialen Integration bestehen schliesslich gemäss Prof. Dr. med. habil. C.________ nicht (Expertise S. 79). Weiter hat das kantonale Gericht im Zusammenhang mit der Kategorie "Konsistenz" festgestellt, es liege gemäss Gutachter kein stimmiges Gesamtbild der gleichmässigen Einschränkung in allen Lebensbereichen vor. Der Gutachter selbst hielt dazu fest, das private Aktivitätsniveau sei nur leicht bis mässiggradig eingeschränkt. Gesamthaft ergäben sich bei der Plausibilitätsprüfung deutliche Auffälligkeiten (Expertise S. 79).</w:t>
      </w:r>
    </w:p>
    <w:p>
      <w:r>
        <w:rPr>
          <w:b/>
        </w:rPr>
        <w:t>E. 3.2.2</w:t>
      </w:r>
    </w:p>
    <w:p>
      <w:r>
        <w:t>Mit Blick auf die soeben dargelegten, für das Bundesgericht verbindlichen Feststellungen des kantonalen Gerichts zu den Indikatoren (vgl. E. 1 und 2.2.2 f. hiervor) kann der vom Gutachter diagnostizierten chronifizierten, rezidivierenden depressiven Störung, im Verlauf mittelgradig bis zunehmend schwer (Expertise S. 87), in Nachachtung von BGE 141 V 281 aus juristischer Sicht keine Einschränkung auf die Arbeitsfähigkeit zugeschrieben werden. Das Abweichen von der ärztlichen Arbeitsfähigkeitsschätzung (80%ige Arbeitsunfähigkeit) stellt vorliegend entgegen der Ansicht des Beschwerdeführers keine unzulässige juristische Parallelüberprüfung ( BGE 145 V 361 ) dar. Weiterungen erübrigen sich.</w:t>
      </w:r>
    </w:p>
    <w:p>
      <w:r>
        <w:rPr>
          <w:b/>
        </w:rPr>
        <w:t>E. 3.3</w:t>
      </w:r>
    </w:p>
    <w:p>
      <w:r>
        <w:t>Im Ergebnis hat die Vorinstanz somit kein Bundesrecht verletzt, indem sie die rentenabweisende Verfügung vom 24. Januar 2019 bestätigt hat. Die Beschwerde ist unbegründet.</w:t>
      </w:r>
    </w:p>
    <w:p>
      <w:r>
        <w:rPr>
          <w:b/>
        </w:rPr>
        <w:t>E. 4</w:t>
      </w:r>
    </w:p>
    <w:p>
      <w:r>
        <w:t>Die Gerichtskosten hat der Beschwerdeführer als unterliegende Partei zu tragen ( Art. 66 Abs. 1 Satz 1 BGG ). Diesbezüglich hat er mit Eingabe vom 16. August 2021 unter Verweis auf den bevorstehenden Auszug seiner Tochter aus der elterlichen Wohnung per Ende August 2021 ein neues Gesuch um unentgeltliche Rechtspflege gestellt. Die Voraussetzung der Bedürftigkeit gemäss Art. 64 Abs. 1 BGG ist vorliegend jedoch nicht erfüllt: Vom Zeitpunkt der Einreichung des ersten Gesuchs am 16. April 2021 bis zum angekündigten Auszug der Tochter des Beschwerdeführers vergingen rund 4.5 Monate. In dieser Zeit erzielte der Beschwerdeführer den gemäss Verfügung vom 13. Juli 2021 ermittelten Überschuss in der Höhe von monatlich Fr. 1217.65, mithin total rund Fr. 5479.40. Es ist dem Beschwerdeführer daher ohne Weiteres möglich, die anfallenden Prozesskosten (Gerichts- und Anwaltskosten) aus diesem Betrag zu begleichen.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