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224/2010 vom 1. September 2010</w:t>
      </w:r>
    </w:p>
    <w:p>
      <w:r>
        <w:t>Bundesgericht, 2010-09-01, FR</w:t>
      </w:r>
    </w:p>
    <w:p>
      <w:r>
        <w:rPr>
          <w:b/>
        </w:rPr>
        <w:t xml:space="preserve">Quelle: </w:t>
      </w:r>
      <w:r>
        <w:t>https://mcp.opencaselaw.ch/entscheid/bger_9C_224_2010</w:t>
      </w:r>
    </w:p>
    <w:p>
      <w:r>
        <w:t>FR: TF 9C 224/2010 du 1 septembre 2010</w:t>
      </w:r>
    </w:p>
    <w:p>
      <w:r>
        <w:t>IT: TF 9C 224/2010 del 1 settembre 2010</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Les premiers juges ont analysé en détail les dispositions réglementaires applicables et sont arrivés à la conclusion que la recourante ne pouvait prétendre le versement d'aucune autre prestation qu'une rente de conjoint survivant.</w:t>
      </w:r>
    </w:p>
    <w:p>
      <w:r>
        <w:rPr>
          <w:b/>
        </w:rPr>
        <w:t>E. 2.2</w:t>
      </w:r>
    </w:p>
    <w:p>
      <w:r>
        <w:t>Cette interprétation est manifestement correcte. Selon l'art. 33 al. 4 du Règlement de la Caisse paritaire de prévoyance de l'industrie et de la construction, un assuré qui bénéficie d'une retraite anticipée selon les conventions collectives (FAR ou RESOR) continue d'être affilié à la caisse de prévoyance jusqu'au jour de la retraite règlementaire (1ère phrase). Le décès de l'assuré au cours de la période transitoire ouvre pour le conjoint survivant le droit aux prestations de survivants de retraités (4e phrase). Celui-ci a alors droit à une rente, pour autant qu'au moment du décès il ait un ou plusieurs enfants à charge ou qu'il soit âgé de 45 ans au moins et le mariage ait duré 5 ans au moins (art. 41 al. 1). Si le conjoint survivant ne remplit pas les conditions d'obtention d'une rente, il a droit à une allocation unique (art. 43 al. 1). Ce n'est que lorsque la caisse de prévoyance n'est pas tenue au paiement d'une rente ou d'une allocation unique qu'elle doit verser un capital-décès aux ayants droit du défunt (art. 49).</w:t>
      </w:r>
    </w:p>
    <w:p>
      <w:r>
        <w:rPr>
          <w:b/>
        </w:rPr>
        <w:t>E. 2.3</w:t>
      </w:r>
    </w:p>
    <w:p>
      <w:r>
        <w:t>Les dispositions règlementaires précitées sont claires et précises, et n'autorisent aucune interprétation. Les prestations prévues pour le conjoint survivant obéissent au principe de la subsidiarité; ce n'est que si le paiement d'une rente ou d'une allocation unique ne sont pas possibles que le versement d'un capital-décès peut entrer en ligne de compte. Dans la mesure où la recourante admet réaliser les conditions posées par le règlement pour l'octroi d'une rente de conjoint survivant, il n'y a pas lieu d'examiner la question du versement d'un capital-décès. L'absence d'une demande formelle tendant à l'attribution d'une rente n'y change rien, la caisse de prévoyance n'ayant pas d'autre choix que de lui servir une rente.</w:t>
      </w:r>
    </w:p>
    <w:p>
      <w:r>
        <w:rPr>
          <w:b/>
        </w:rPr>
        <w:t>E. 3.1</w:t>
      </w:r>
    </w:p>
    <w:p>
      <w:r>
        <w:t>Pour le reste, c'est à bon droit que les premiers juges n'ont pas examiné les prétentions en dommages-intérêts formulées par la recourante. L'intimée ayant agi conformément aux règles auxquelles elle était soumise, on ne peut lui reprocher un comportement répréhensible qu'il y aurait lieu de sanctionner. En particulier, on ne voit pas quel préjudice la non-remise du certificat de prévoyance valable au 1er janvier 2007 a pu causer à la recourante. On rappellera en effet que les renseignements figurant dans un certificat de prévoyance reflètent la situation de la personne assurée à un moment donné et n'ont qu'un rôle informatif; ils ne sauraient en principe préjuger du droit futur de la personne assurée aux prestations.</w:t>
      </w:r>
    </w:p>
    <w:p>
      <w:r>
        <w:rPr>
          <w:b/>
        </w:rPr>
        <w:t>E. 3.2</w:t>
      </w:r>
    </w:p>
    <w:p>
      <w:r>
        <w:t>Il ressort du mémoire de recours que la recourante souhaite également contester le montant de la rente qui lui est actuellement versée. Cette conclusion est nouvelle et, partant, irrecevable en vertu de l' art. 99 al. 2 LTF .</w:t>
      </w:r>
    </w:p>
    <w:p>
      <w:r>
        <w:rPr>
          <w:b/>
        </w:rPr>
        <w:t>E. 4</w:t>
      </w:r>
    </w:p>
    <w:p>
      <w:r>
        <w:t>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