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9C_223/2025 vom 24. September 2025</w:t>
      </w:r>
    </w:p>
    <w:p>
      <w:r>
        <w:t>Bundesgericht, 2025-09-24, DE</w:t>
      </w:r>
    </w:p>
    <w:p>
      <w:r>
        <w:rPr>
          <w:b/>
        </w:rPr>
        <w:t xml:space="preserve">Quelle: </w:t>
      </w:r>
      <w:r>
        <w:t>https://mcp.opencaselaw.ch/entscheid/bger_9C_223_2025</w:t>
      </w:r>
    </w:p>
    <w:p>
      <w:r>
        <w:t>FR: TF 9C_223/2025 du 24 septembre 2025</w:t>
      </w:r>
    </w:p>
    <w:p>
      <w:r>
        <w:t>IT: TF 9C_223/2025 del 24 settembre 2025</w:t>
      </w:r>
    </w:p>
    <w:p>
      <w:pPr>
        <w:pStyle w:val="Heading2"/>
      </w:pPr>
      <w:r>
        <w:t>Erwägungen</w:t>
      </w:r>
    </w:p>
    <w:p>
      <w:r>
        <w:rPr>
          <w:b/>
        </w:rPr>
        <w:t>E. 1.1</w:t>
      </w:r>
    </w:p>
    <w:p>
      <w:r>
        <w:t>Die Beschwerdeführerin fordert die Aufhebung entweder des angefochtenen Urteils oder der definitiven Veranlagung (en) des Kantons Schwyz mit Rückerstattung der vereinnahmten Steuern, damit eine interkantonale Doppelbesteuerung vermieden werden könne.</w:t>
      </w:r>
    </w:p>
    <w:p>
      <w:r>
        <w:rPr>
          <w:b/>
        </w:rPr>
        <w:t>E. 1.2</w:t>
      </w:r>
    </w:p>
    <w:p>
      <w:r>
        <w:t>Die Beschwerde wurde unter Einhaltung der gesetzlichen Frist ( Art. 100 Abs. 1 BGG ) eingereicht und richtet sich unter anderem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demnach zur Beschwerde legitimiert, soweit damit die Aufhebung des vorinstanzlichen Urteils gefordert wird.</w:t>
      </w:r>
    </w:p>
    <w:p>
      <w:r>
        <w:rPr>
          <w:b/>
        </w:rPr>
        <w:t>E. 1.3</w:t>
      </w:r>
    </w:p>
    <w:p>
      <w:r>
        <w:t>Alternativ wird der Antrag auf Aufhebung "der definitiven Veranlagung des Kantons Schwyz mit Rückerstattung der vereinnahmten Steuern" gestellt.</w:t>
      </w:r>
    </w:p>
    <w:p>
      <w:r>
        <w:rPr>
          <w:b/>
        </w:rPr>
        <w:t>E. 1.3.1</w:t>
      </w:r>
    </w:p>
    <w:p>
      <w:r>
        <w:t>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300 E. 2.4, 308 E. 2.4; Urteile 9C_591/2023 vom 2. April 2024 E. 1.2, nicht publ. in: BGE 150 II 321 , aber in: StE 2024 A 24.22 Nr. 11;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aber in: StE 2024 A 24.22 Nr. 11; 2C_403/2015 vom 1. April 2016 E. 5, in: StE 2016 A 24.21 Nr. 36).</w:t>
      </w:r>
    </w:p>
    <w:p>
      <w:r>
        <w:rPr>
          <w:b/>
        </w:rPr>
        <w:t>E. 1.3.2</w:t>
      </w:r>
    </w:p>
    <w:p>
      <w:r>
        <w:t>Da diese Voraussetzung für die Anfechtung der rechtskräftigen Veranlagungsverfügungen der Kantonalen Steuerverwaltung Schwyz 2020 und 2021, soweit die laut angefochtenem Entscheid im Streit liegenden Steuerperioden vom 27. August 2019 bis 31. Dezember 2020 betreffend, vorliegend erfüllt ist, erweist sich die Beschwerde auch insoweit grundsätzlich als zulässig. Dies gilt ebenfalls für das damit verbundene Rechtsbegehren um Rückerstattung der gestützt darauf bereits an den Kanton Schwyz bezahlten Steuern (vgl. Urteil 9C_73/2024 vom 26. Februar 2025 E. 1.3 mit Hinweisen, zur Publikation vorgesehen).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9C_73/2024 vom 26. Februar 2025 E. 2.3 mit Hinweisen, zur Publikation vorgesehen).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vom 27. August 2019 bis 31. Dezember 2020 im Kanton Zürich (Gemeinde Y.________) stattgefunden, sodass die Gesellschaft nach den einschlägigen steuerrechtlichen Grundsätzen der zürcherischen Steuerpflicht unterliege. Die Beschwerdeführerin stellt sich auf den Standpunkt, die effektive Leitung und Geschäftsführung sei von ihrem damals im Kanton Schwyz gelegenen statutarischen Sitz aus erfolgt, weshalb der relevante steuerrechtliche Anknüpfungspunkt dort anzusiedeln sei.</w:t>
      </w:r>
    </w:p>
    <w:p>
      <w:r>
        <w:rPr>
          <w:b/>
        </w:rPr>
        <w:t>E. 3.2</w:t>
      </w:r>
    </w:p>
    <w:p>
      <w:r>
        <w:t>Juristische Personen sind nach harmonisiertem kantonalen Steuerrecht (vgl. § 55 des Steuergesetzes des Kantons Zürich vom 8. Juni 1997 [StG/ZH; LS 631.1]; vgl. auch Art. 20 Abs. 1 StHG und § 55 des Steuergesetzes des Kantons Schwyz vom 9. Februar 2000 [StG/SZ; Schwyzer Steuerbuch 21.10]) einem Kanton gegenüber persönlich zugehörig und deshalb unbeschränkt steuerpflichtig, wenn sich ihr Sitz oder ihre tatsächliche Verwaltung resp. Geschäftsleitung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9C_569/2024 vom 29. April 2025 E. 3.2.1 mit Hinweisen; 9C_73/2024 vom 26. Februar 2025 E. 4.1 mit Hinweisen, zur Publikation vorgesehen).</w:t>
      </w:r>
    </w:p>
    <w:p>
      <w:r>
        <w:rPr>
          <w:b/>
        </w:rPr>
        <w:t>E. 3.2.2</w:t>
      </w:r>
    </w:p>
    <w:p>
      <w:r>
        <w:t>Das Bundesgericht hat vor diesem Hintergrund unlängst in seinem zur Amtlichen Publikation bestimmten Urteil 9C_73/2024 vom 26. Februar 2025 weitere grundlegende Fragen geklärt. Es hat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rechtfertige. Das bedeute jedoch nicht, dass der Wohnsitz des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(E. 4.5.1; vgl. auch Urteile 9C_424/2024 vom 29. April 2025 E. 3.3.2; 9C_570/2024 vom 29. April 2025; 9C_558/2024 vom 29. April 2025 E. 3.3.2; 9C_504/2024 vom 19. März 2025 E. 7.1).</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vom 26. Februar 2025 E. 4.2 und 4.5.3, zur Publikation vorgesehen).</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(gewisse)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mit Bezug auf Tatsachen und Indizien betreffend die Veranlagungszuständigkeit, kann dieses Verhalten ein Indiz für oder gegen die Verwirklichung einer steuerrelevanten Tatsache bilden ( BGE 148 II 285 E. 3.1.2 mit Hinweisen).</w:t>
      </w:r>
    </w:p>
    <w:p>
      <w:r>
        <w:rPr>
          <w:b/>
        </w:rPr>
        <w:t>E. 4</w:t>
      </w:r>
    </w:p>
    <w:p>
      <w:r>
        <w:t>Die Vorinstanz hat in Übereinstimmung mit dem Steuerrekursgericht erwogen, der Beschwerdegegner habe begründeten Anlass gehabt, eine mögliche Steuerpflicht der Beschwerdeführerin im Kanton Zürich näher abzuklären. Dies zum einen auf Grund des Umstands, dass mit G.________ (Verwaltungsratspräsident der Beschwerdeführerin, wohnhaft in Z.________/ZH), H.________ (Vorsitzender der Geschäftsleitung [CEO], wohnhaft in U1.________/ZH) und I.________ (Mitglied der Geschäftsleitung, wohnhaft in U2.________/ZH) drei der vier zeichnungsberechtigten Personen im entscheidwesentlichen Zeitraum im Kanton Zürich gewohnt hätten. Weiter sei als Domiziladresse der Beschwerdeführerin die Strasse xxx in U.________ (SZ) angegeben worden; diese entspreche unter anderem auch derjenigen der J.________, deren Geschäftsfeld zur Hauptsache in der Ansiedelung von Firmen resp. Zurverfügungstellung von Domizilen ohne Hinweise darauf bestehe, dass damit einhergehend auch entsprechende Büroräumlichkeiten angemietet werden könnten. Gestützt auf diese Fakten habe der Beschwerdegegner von einer natürlichen Vermutung im Sinne eines Anfangsverdachts ausgehen dürfen, dass es sich bei der Domiziladresse der Beschwerdeführerin um ein reines Briefkastendomizil handle.</w:t>
      </w:r>
    </w:p>
    <w:p>
      <w:r>
        <w:t>Die weiteren Erhebungen durch den Beschwerdegegner hätten sich in der Folge - so die Vorinstanz weiter - mangels Mitwirkung der Beschwerdeführerin als schwierig gestaltet; insbesondere seien kaum überprüfbare Nachweise betreffend ihr angebliches Domizil in U.________ wie etwa ein Miet- oder Domizilvertrag, Spesenabrechnungen, Bankbezüge und/ oder anderweitige Präsenznachweise ihrer Organe beigebracht worden. Vielmehr habe sich herausgestellt, dass sich die von der Beschwerdeführerin angegebene Domiziladresse in einer 220 m2 grossen Liegenschaft in Form eines in einer reinen Wohnzone gelegenen Terrassenhauses befunden habe, die im Zeitraum zwischen 2019 und 2020 als Domiziladresse von 19 weiteren Gesellschaften gedient habe. Als Verwaltungsratspräsident der J.________ mit Einzelunterschrift amte überdies K.________, bei dem es sich gemäss Aussage der Beschwerdeführerin um einen ihrer Investoren handle; dieser habe denn auch die an die Beschwerdeführerin gerichtete Auflage des Beschwerdegegners vom 16. Dezember 2021 entgegengenommen. Gesamthaft lägen somit hinreichend konkrete Gründe vor, die es als sehr wahrscheinlich erscheinen liessen, dass der formelle Sitz der Beschwerdeführerin ein blosses Briefkastendomizil darstelle. Sodann sei erwiesen, dass sich in den streitbetroffenen Steuerperioden mit der F.________ AG, einem Tochterunternehmen innerhalb der durch die E.________ AG gebildeten Konzernstruktur, zu der auch die Beschwerdeführerin gehöre, ein operativ tätiges Unternehmen mit Geschäftsräumen und Mitarbeitenden in Y.________/ZH befunden habe. Für dieses sei G.________, Verwaltungsratspräsident der Beschwerdeführerin, zeitgleich ebenfalls als Geschäftsführer und Verwaltungsratspräsident tätig gewesen. Dieser Umstand sowie die in den Arbeitsverträgen des CEOs der Beschwerdeführerin, H.________, und des weiteren Geschäftsleitungsmitglieds I.________ vereinbarte grundsätzliche Präsenzpflicht, der auf Grund der Platzverhältnisse in den Räumlichkeiten an der Strasse xxx in U.________ faktisch kaum nachzukommen gewesen wäre, deuteten mit überwiegender Wahrscheinlichkeit auf die zürcherische Gemeinde Y.________ als Ort der tatsächlichen Verwaltung hin.</w:t>
      </w:r>
    </w:p>
    <w:p>
      <w:r>
        <w:t>Der Anfangsverdacht des Beschwerdegegners habe sich daher zusammenfassend erhärtet und es sei ihm der (Haupt-) Beweis einer im Kanton Zürich, Gemeinde Y.________, gelegenen tatsächlichen Verwaltung gelungen. Demgegenüber habe die Beschwerdeführerin den Gegenbeweis für eine an ihrem statutarischen Sitz im Kanton Schwyz befindliche tatsächliche Verwaltung nicht erbringen können.</w:t>
      </w:r>
    </w:p>
    <w:p>
      <w:r>
        <w:rPr>
          <w:b/>
        </w:rPr>
        <w:t>E. 5.1</w:t>
      </w:r>
    </w:p>
    <w:p>
      <w:r>
        <w:t>Die Beschwerdeführerin wiederholt vor dem Bundesgericht weitgehend ihre bereits im vorinstanzlichen Verfahren vorgebrachten Einwendungen.</w:t>
      </w:r>
    </w:p>
    <w:p>
      <w:r>
        <w:rPr>
          <w:b/>
        </w:rPr>
        <w:t>E. 5.2</w:t>
      </w:r>
    </w:p>
    <w:p>
      <w:r>
        <w:t>Sofern sie sich erneut gegen die Eröffnung des Steuerhoheitsverfahrens durch den Beschwerdegegner an sich wehrt, ist dem entgegenzuhalten, dass es die von den kantonalen Behörden benannten Indizien ohne Weiteres rechtfertigten, ein entsprechendes Prozedere einzuleiten, in dem die Beschwerdeführerin nach Massgabe der dargestellten Grundsätze mitwirkungspflichtig war (E. 3.3.2 hiervor). Zwar enthielt das erste Schreiben des Beschwerdegegners an die Beschwerdeführerin vom 16. Dezember 2021, mit der diverse Unterlagen betreffend deren Geschäftstätigkeit eingefordert wurden, noch keine genaueren Angaben dazu, worauf sich der Anfangsverdacht stützte. Dieser Umstand führt indessen entgegen der Beschwerdeführerin nicht dazu, dass das gesamte Verfahren neu aufgerollt werden müsste. Vielmehr wäre eine allfällige Verletzung des rechtlichen Gehörs spätestens mit Erlass des Steuerhoheitsentscheids vom 5. September 2022 resp. jedenfalls mit Einspracheentscheid vom 18. November 2022, der sich eingehend mit den entsprechenden Verdachtsmomenten befasste, geheilt worden. Überdies hätte es der Beschwerdeführerin offen gestanden, jederzeit ein Gesuch um Akteneinsicht zu stellen, was indessen ausweislich der Akten nicht geschehen ist.</w:t>
      </w:r>
    </w:p>
    <w:p>
      <w:r>
        <w:rPr>
          <w:b/>
        </w:rPr>
        <w:t>E. 5.3</w:t>
      </w:r>
    </w:p>
    <w:p>
      <w:r>
        <w:t>Weiter führt die Beschwerdeführerin an, da sie bis anhin nicht im Kanton Zürich steuerpflichtig gewesen sei, obliege die entsprechende Beweislastpflicht (für einen sog. Zuzug) vollumfänglich dem Beschwerdegegner. Anders als bei einem angeblichen Wegzug unterstehe die als steuerpflichtig ins Auge gefasste Person - und damit auch sie - grundsätzlich keiner Mitwirkungspflicht.</w:t>
      </w:r>
    </w:p>
    <w:p>
      <w:r>
        <w:rPr>
          <w:b/>
        </w:rPr>
        <w:t>E. 5.3.1</w:t>
      </w:r>
    </w:p>
    <w:p>
      <w:r>
        <w:t>Darauf hinzuweisen ist vorab,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5.3.2</w:t>
      </w:r>
    </w:p>
    <w:p>
      <w:r>
        <w:t>Die Vorinstanz hat mehrere Anhaltspunkte angeführt, die sie zur Überzeugung haben gelangen lassen, die Geschäftsführung der Beschwerdeführerin sei in den Steuerperioden vom 27. August 2019 bis 31. Dezember 2020 vom Sitz der im zürcherischen Y.________ domizilierten F.________ AG aus erfolgt, weshalb der Ort der tatsächlichen Verwaltung im hier verstandenen Sinne dort anzusiedeln sei. Überdies setzte sie sich im angefochtenen Urteil einlässlich mit den hiervor erwähnten Argumenten der Beschwerdeführerin auseinander und legte dar, weshalb anhand dieser nicht von einem schlüssig erbrachten Gegenbeweis auszugehen sei.</w:t>
      </w:r>
    </w:p>
    <w:p>
      <w:r>
        <w:t>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vom 26. Februar 2025 E. 4.5.3, zur Publikation vorgesehen). Die von der Kantonalen Steuerverwaltung Schwyz aufgelegten Noven erfordern keine vertiefte (re) Sachverhaltskontrolle durch das Bundesgericht. Konkret müssten die Überlegungen, welche die Vorinstanz zum Schluss führten, mit überwiegender Wahrscheinlichkeit seien die wesentlichen Unternehmensentscheide betreffend die Beschwerdeführerin schwergewichtig in Y.________/ZH getroffen worden, daher qualifiziert fehlerhaft sein, bevor das Bundesgericht eingreifen könnte (vgl. auch BGE 150 II 321 E. 3.7). Dies ist hier angesichts der vom Verwaltungsgericht genannten Indizien zu verneinen.</w:t>
      </w:r>
    </w:p>
    <w:p>
      <w:r>
        <w:t>Eine wie auch immer geartete Anknüpfung an den Kanton Schwyz ist vorbehältlich des statutarischen Sitzes der Beschwerdeführerin demnach nicht erkennbar und wird von der dortigen Steuerverwaltung denn auch nicht geltend gemacht.</w:t>
      </w:r>
    </w:p>
    <w:p>
      <w:r>
        <w:rPr>
          <w:b/>
        </w:rPr>
        <w:t>E. 5.4</w:t>
      </w:r>
    </w:p>
    <w:p>
      <w:r>
        <w:t>Die Vorinstanz konnte somit willkürfrei darauf schliessen, dass die Geschäftsführung der Beschwerdeführerin in der Steuerperiode vom 27. August 2019 bis 31. Dezember 2020 mit überwiegender Wahrscheinlichkeit von der Gemeinde Y.________/ZH aus erfolgte. Aus dieser für das Bundesgericht nach dem Gesagten verbindlichen Feststellung resultiert, dass sich der Ort der tatsächlichen Verwaltung im damaligen Zeitraum im Kanton Zürich befand, der ausserkantonale Sitz also nur formeller Art war, und die Beschwerdeführerin nach harmonisiertem kantonalen Steuerrecht daher einer unbeschränkten Steuerpflicht im Kanton Zürich unterstand.</w:t>
      </w:r>
    </w:p>
    <w:p>
      <w:r>
        <w:rPr>
          <w:b/>
        </w:rPr>
        <w:t>E. 6.1</w:t>
      </w:r>
    </w:p>
    <w:p>
      <w:r>
        <w:t>Nach dem Ausgeführten steht dem Kanton Zürich für die Steuerperiode vom 27. August 2019 bis 31. Dezember 2020 das unbeschränkte Besteuerungsrecht zu, weil dort die tatsächliche Verwaltung der Beschwerdeführerin zu verorten war. Die Beschwerde ist somit insoweit abzuweisen, als sie sich gegen das Urteil des Verwaltungsgerichts des Kantons Zürich vom vom 26. Februar 2025 richtet.</w:t>
      </w:r>
    </w:p>
    <w:p>
      <w:r>
        <w:rPr>
          <w:b/>
        </w:rPr>
        <w:t>E. 6.2</w:t>
      </w:r>
    </w:p>
    <w:p>
      <w:r>
        <w:t>Gutzuheissen ist die Rechtsvorkehr demgegenüber, soweit sie auf die rechtskräftigen Veranlagungsverfügungen 2020 und 2021 der Kantonalen Steuerverwaltung Schwyz abzielt (zum hier nicht geltenden Novenverbot nach Art. 99 BGG siehe E. 2.2 hiervor). Diese sind, soweit die hier strittige Steuerperiode betreffend, aufzuheben und der Kanton Schwyz wird verpflichtet, der Beschwerdeführerin die für diesen Zeitraum bezahlten Steuern zurückzuerstatten. Daran ändert nichts, dass die Beschwerdeführerin in den fraglichen Steuerperioden jeweils lediglich eine Kapitalsteuer (als Minimalsteuer) im Mindestbetrag von Fr. 100.- gemäss §§ 55 f., 78 und 82 Abs. 1 StG/SZ zu entrichten hatte. Die juristische Person ist zwar nach harmonisiertem kantonalen Steuerrecht an ihrem Sitz unbeschränkt steuerpflichtig, und dies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In diesem Fall kann der Sitzkanton die juristische Person nur noch besteuern, falls und soweit sie im Sitzkanton ein Nebensteuerdomizil (z.B. eine Betriebsstätte oder ein Grundstück) unterhält ( BGE 150 II 321 E. 3.1; Urteil 9C_73/2024 vom 26. Februar 2025 E. 5.2 mit Hinweisen, zur Publikation vorgesehen). Dass derlei hier gegeben wäre, ist weder ersichtlich noch geltend gemacht.</w:t>
      </w:r>
    </w:p>
    <w:p>
      <w:r>
        <w:rPr>
          <w:b/>
        </w:rPr>
        <w:t>E. 7</w:t>
      </w:r>
    </w:p>
    <w:p>
      <w:r>
        <w:t>Die Beschwerdeführerin dringt mit ihrem Antrag hinsichtlich der Aufhebung der vorgenannten Veranlagungsverfügungen der Kantonalen Steuerverwaltung Schwyz (samt Rückerstattung der gestützt darauf entrichteten Steuern) durch, nicht hingegen mit ihrem Hauptanliegen betreffend die Aufhebung des vorinstanzlichen Urteils vom 26. Februar 2025. Es rechtfertigt sich daher, ihr - gemessen an ihrem Obsiegen und Unterliegen - zwei Drittel der Gerichtskosten zu überbinden. Einen Drittel der Kosten hat der Kanton Schwyz zu tragen; er wird kostenpflichtig, da er in seinen Vermögensinteressen berührt ist ( Art. 66 Abs. 1 Satz 1 und Abs. 4 BGG ; Urteil 9C_229/2023 vom 20. Juli 2023 E. 4.3). Zwar kann in Konstellationen wie der vorliegenden von der Kostenverlegung nach dem Unterliegerprinzip abgewichen oder dem unterliegenden Kanton sogar eine Parteientschädigung zugesprochen werden, wenn sich die steuerpflichtige Person treuwidrig verhält (vgl. BGE 149 II 354 E. 5.2 und 5.3; Urteil 9C_591/2023 vom 2. April 2024 E. 5.3, nicht publ. in: BGE 150 II 321 , aber in: StE 2024 A 24.22 Nr. 11). Anhaltspunkte für Letzteres sind indessen nicht auszumachen und werden vom Kanton Schwyz auch nicht aufgezeigt. Vielmehr hat er der Beschwerdeführerin eine reduzierte Parteientschädigung auszurichten. Eine solche steht dem Kanton Zürich demgegenüber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