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9C_223/2024 vom 3. Oktober 2024</w:t>
      </w:r>
    </w:p>
    <w:p>
      <w:r>
        <w:t>Bundesgericht, 2024-10-03, DE</w:t>
      </w:r>
    </w:p>
    <w:p>
      <w:r>
        <w:rPr>
          <w:b/>
        </w:rPr>
        <w:t xml:space="preserve">Quelle: </w:t>
      </w:r>
      <w:r>
        <w:t>https://mcp.opencaselaw.ch/entscheid/bger_9C_223_2024</w:t>
      </w:r>
    </w:p>
    <w:p>
      <w:r>
        <w:t>FR: TF 9C_223/2024 du 3 octobre 2024</w:t>
      </w:r>
    </w:p>
    <w:p>
      <w:r>
        <w:t>IT: TF 9C_223/2024 del 3 ottobre 2024</w:t>
      </w:r>
    </w:p>
    <w:p>
      <w:pPr>
        <w:pStyle w:val="Heading2"/>
      </w:pPr>
      <w:r>
        <w:t>Erwägungen</w:t>
      </w:r>
    </w:p>
    <w:p>
      <w:r>
        <w:rPr>
          <w:b/>
        </w:rPr>
        <w:t>E. 1</w:t>
      </w:r>
    </w:p>
    <w:p>
      <w:r>
        <w:t>Das Bundesgericht prüft in Bezug auf das vor- wie das letztinstanzliche Verfahren die Zuständigkeit und die weiteren Eintretensvoraussetzungen von Amtes wegen und mit freier Kognition ( Art. 29 Abs. 1 BGG ; BGE 145 V 57 E. 1; 141 V 605 E. 3.1).</w:t>
      </w:r>
    </w:p>
    <w:p>
      <w:r>
        <w:rPr>
          <w:b/>
        </w:rPr>
        <w:t>E. 2</w:t>
      </w:r>
    </w:p>
    <w:p>
      <w:r>
        <w:t>Das kantonale Gericht ist auf die Klage nicht eingetreten, weil es für deren Beurteilung nicht sich, sondern die Aufsichtsbehörde als zuständig erachtet hat. Dementsprechend ist die Beschwerde nur soweit zulässig, als damit die materielle Behandlung der Klage durch die Vorinstanz verlangt wird (vgl. Art. 86 Abs. 1 lit. d BGG ; BGE 125 V 413 E. 1).</w:t>
      </w:r>
    </w:p>
    <w:p>
      <w:r>
        <w:rPr>
          <w:b/>
        </w:rPr>
        <w:t>E. 3.1.1</w:t>
      </w:r>
    </w:p>
    <w:p>
      <w:r>
        <w:t>Jeder Kanton bezeichnet ein Gericht, das als letzte kantonale Instanz über Streitigkeiten zwischen Vorsorgeeinrichtungen, Arbeitgebern und Anspruchsberechtigten entscheidet ( Art. 73 Abs. 1 BVG ). Voraussetzung für den Rechtsweg nach Art. 73 Abs. 1 BVG bildet jedoch, dass eine Streitigkeit aus beruflicher Vorsorge im engeren oder weiteren Sinn vorliegt.</w:t>
      </w:r>
    </w:p>
    <w:p>
      <w:r>
        <w:t>Zudem darf die streitige berufsvorsorgerechtliche Angelegenheit nicht in den Zuständigkeitsbereich der Aufsichtsbehörden gemäss Art. 61 ff. BVG fallen ( BGE 141 V 605 E. 3.2.1 mit Hinweisen; SVR 2017 BVG Nr. 37 S. 169, 9C_938/2015 und 9C_944/2015 E. 3.3.1). Die strikte Zweiteilung der Zuständigkeit und des Verfahrens je nach vorsorgerechtlichem Gegenstand (vgl. BGE 141 V 605 E. 3.2.3-3.2.4) gilt es zu respektieren. Für eine Kompetenzattraktion des kantonalen Berufsvorsorgegerichts in Bezug auf rein aufsichtsrechtliche (Vor-) Fragen verbleibt kein Raum, könnten doch damit die gesetzlichen Zuständigkeitsvorschriften jederzeit ausgehebelt werden ( BGE 150 V 26 E. 4.1.1 mit Hinweisen).</w:t>
      </w:r>
    </w:p>
    <w:p>
      <w:r>
        <w:rPr>
          <w:b/>
        </w:rPr>
        <w:t>E. 3.1.2</w:t>
      </w:r>
    </w:p>
    <w:p>
      <w:r>
        <w:t>Der massgebende Rechtsweg im Falle der (Teil-) Liquidation einer Vorsorgeeinrichtung ergibt sich daraus, ob die (generelle) Erstellung des Verteilungsplans oder dessen (individuell-konkreter) Vollzug zur Diskussion steht. Im ersten Fall ist das Verwaltungsverfahren zu beschreiten, wofür die Aufsichtsbehörde und bei allfälliger Beschwerde das Bundesverwaltungsgericht (vgl. Art. 74 BVG ) zuständig ist; im zweiten Fall steht die Klage an das kantonale Berufsvorsorgegericht gemäss Art. 73 BVG offen ( BGE 141 V 605 E. 3.2.3 mit Hinweisen). Entscheidend ist somit - auch im Zusammenhang mit Streitigkeiten um Deckungskapital für Rentner resp. Rentenansprüche (SVR 2007 BVG Nr. 27 S. 95, B 114/05 vom 14. November 2006 E. 7.2) - eine Zweiteilung im Sinne von Gestaltung und Umsetzung, die dem Bundesgericht als Abgrenzungskriterium für den Rechtsweg dient.</w:t>
      </w:r>
    </w:p>
    <w:p>
      <w:r>
        <w:rPr>
          <w:b/>
        </w:rPr>
        <w:t>E. 3.2</w:t>
      </w:r>
    </w:p>
    <w:p>
      <w:r>
        <w:t>Klagefundament und Ausgangspunkt für die Zulässigkeit der Klage bildet - nebst den Anträgen - deren Begründung ( BGE 141 V 605 E. 3.3).</w:t>
      </w:r>
    </w:p>
    <w:p>
      <w:r>
        <w:rPr>
          <w:b/>
        </w:rPr>
        <w:t>E. 3.3.1</w:t>
      </w:r>
    </w:p>
    <w:p>
      <w:r>
        <w:t>Die vorinstanzlich beklagte PTV erbringt als registrierte (vgl. Art. 5 Abs. 2 und Art. 48 BVG ) resp. umhüllende Vorsorgeeinrichtung reglementarische Leistungen (vgl. Art. 2 des Versicherungsreglements der PTV vom 27. November 2003, Fassung 2018). Im Rahmen eines kollektiven Übertritts von Rentnern ist die übernehmende Vorsorgeeinrichtung (hier: Valitas) grundsätzlich - unter Vorbehalt der Zuständigkeit der Aufsichtsbehörde - berechtigt, von der abgebenden Vorsorgeeinrichtung (hier: PTV) Rentendeckungskapitalien mittels Klage nach Art. 73 BVG einzufordern (SVR 2013 BVG Nr. 22 S. 95, 9C_375/2012 E. 4 ; 2007 BVG Nr. 27 S. 95, B 114/05 E. 7.2). Auch den betroffenen Arbeitgeberinnen kommt (grundsätzlich) Klageberechtigung zu.</w:t>
      </w:r>
    </w:p>
    <w:p>
      <w:r>
        <w:rPr>
          <w:b/>
        </w:rPr>
        <w:t>E. 3.3.2</w:t>
      </w:r>
    </w:p>
    <w:p>
      <w:r>
        <w:t>Die hier im Fokus stehende "Hauptforderung" von Fr. 1'461'000.-, die nach Auffassung der Beteiligten dem Rentendeckungskapital oder den versicherungstechnischen Rückstellungen (für die Senkung des technischen Zinssatzes) zugerechnet werden könnte, wurde bereits am 27. Januar 2022 erfüllt. In concreto stand und steht denn auch nicht dieser Anspruch, sondern einzig die dazu akzessorische Verzugszinsforderung im Streit. Dabei handelt es sich - entsprechend der der Zinsforderung zugrunde liegenden Hauptsache (vgl. BGE 147 V 86 E. 3.2 Abs. 2) - um eine berufsvorsorgerechtliche Angelegenheit im Sinne von Art. 73 BVG .</w:t>
      </w:r>
    </w:p>
    <w:p>
      <w:r>
        <w:rPr>
          <w:b/>
        </w:rPr>
        <w:t>E. 3.3.3</w:t>
      </w:r>
    </w:p>
    <w:p>
      <w:r>
        <w:t>Für den geltend gemachten Verzugszins von zentraler Bedeutung ist insbesondere die Fälligkeit der (durch die abgebende Vorsorgeeinrichtung bereits anerkannten und beglichenen) "Hauptforderung" oder, mit anderen Worten, die Rechtzeitigkeit der Zahlung von Fr. 1'461'000.-. Damit stellen sich - unbesehen, ob dieser Betrag dem Rentendeckungskapital oder den technischen Rückstellungen zugeordnet wird, und auch wenn über die "Hauptforderung" selbst im Teilliquidationsverfahren zu befinden wäre - Fragen des Vollzugs resp. der individuellen Umsetzung eines "Hauptanspruchs". Zu deren Beantwortung ist nicht die Aufsichtsbehörde, sondern das kantonale Berufsvorsorgegericht zuständig (vgl. BGE 147 V 86 E. 3.2; Sachverhalt in SVR 2009 BVG Nr. 33 S. 124, 9C_98/2009). Insoweit ist die Beschwerde begründet.</w:t>
      </w:r>
    </w:p>
    <w:p>
      <w:r>
        <w:rPr>
          <w:b/>
        </w:rPr>
        <w:t>E. 4</w:t>
      </w:r>
    </w:p>
    <w:p>
      <w:r>
        <w:t>Dem Ausgang des Verfahrens entsprechend hat die Beschwerdegegnerin die Gerichtskosten zu tragen (Art. 66 Abs. 1 und e contrario Abs. 4 BGG). Die (im Wesentlichen) obsiegenden Beschwerdeführerinnen haben Anspruch auf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