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9C_223/2011 vom 3. Juni 2011</w:t>
      </w:r>
    </w:p>
    <w:p>
      <w:r>
        <w:t>Bundesgericht, 2011-06-03, DE</w:t>
      </w:r>
    </w:p>
    <w:p>
      <w:r>
        <w:rPr>
          <w:b/>
        </w:rPr>
        <w:t xml:space="preserve">Quelle: </w:t>
      </w:r>
      <w:r>
        <w:t>https://mcp.opencaselaw.ch/entscheid/bger_9C_223_2011</w:t>
      </w:r>
    </w:p>
    <w:p>
      <w:r>
        <w:t>FR: TF 9C_223/2011 du 3 juin 2011</w:t>
      </w:r>
    </w:p>
    <w:p>
      <w:r>
        <w:t>IT: TF 9C_223/2011 del 3 giugno 2011</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Die Vorinstanz hat festgestellt, nach der Aktenlage sei keine wesentliche Veränderung des Gesundheitszustandes nachweisbar. Beim Gutachten des Inselspitals vom 28. April 2009 - in welchem keine Diagnose mit Auswirkungen auf die Arbeitsfähigkeit gestellt wurde - handle es sich lediglich um eine Neubeurteilung der gleichen gesundheitlichen Situation. Zwar habe der Erwerbsstatus der Versicherten geändert. Bei einem hypothetischen Arbeitspensum von 100 resp. 50 % betrage der Invaliditätsgrad neu 100 resp. 86 %, was ohne Einfluss auf den Rentenanspruch bleibe. Folglich hat sie einen Revisionsgrund nach Art. 17 Abs. 1 ATSG (SR 830.1) verneint. Ebenso hat sie, obwohl die Rentenzusprache auf einer Schmerzstörung beruht habe, eine Wiedererwägung der entsprechenden Verfügung (vgl. Art. 53 Abs. 2 ATSG ) für nicht zulässig gehalten, zumal die diesbezügliche Rechtsprechung ( BGE 130 V 352 ) erst nachträglich eingeführt worden sei und diese für sich auch keine Rentenaufhebung rechtfertige ( BGE 135 V 201 E. 7 S. 211 ff.).</w:t>
      </w:r>
    </w:p>
    <w:p>
      <w:r>
        <w:rPr>
          <w:b/>
        </w:rPr>
        <w:t>E. 2.2</w:t>
      </w:r>
    </w:p>
    <w:p>
      <w:r>
        <w:t>Die vorinstanzlichen Sachverhaltsfeststellungen sind nicht offensichtlich unrichtig und werden auch vom BSV explizit nicht in Abrede gestellt (E. 1). Weiter werden die vorinstanzlichen Erwägungen betreffend die Rentenaufhebung mit der Begründung der Wiedererwägung ( Art. 53 Abs. 2 ATSG ; Urteil 9C_1014/2008 vom 14. April 2009 E. 3.1) oder der Anpassung an geänderte Rechtsgrundlagen ( BGE 135 V 201 E. 7 S. 211 ff.; 215 E. 6 und 7 S. 225 ff.) zu Recht nicht angefochten. Streitig und zu prüfen ist einzig die Rechtsfrage, ob mit dem veränderten Erwerbsstatus ein Revisionsgrund im Sinne von Art. 17 Abs. 1 ATSG vorliegt.</w:t>
      </w:r>
    </w:p>
    <w:p>
      <w:r>
        <w:rPr>
          <w:b/>
        </w:rPr>
        <w:t>E. 3.1</w:t>
      </w:r>
    </w:p>
    <w:p>
      <w:r>
        <w:t>Ändert sich der Invaliditätsgrad einer Rentenbezügerin oder eines Rentenbezügers erheblich, so wird die Rente von Amtes wegen oder auf Gesuch hin für die Zukunft entsprechend erhöht, herabgesetzt oder aufgehoben ( Art. 17 Abs. 1 ATSG [SR 830.1]).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der erwerblichen Auswirkungen des an sich gleich gebliebenen Gesundheitszustandes ( BGE 130 V 343 E. 3.5 S. 349 mit Hinweisen) oder der Grundlagen für die Wahl der Invaliditätsbemessungsmethode ( BGE 117 V 198 E. 3b S. 199; Urteil 9C_90/2010 vom 22. April 2010 E. 1.2) revidierbar. Bei den Renten der Invalidenversicherung ist grundsätzlich jede Änderung des Sachverhalts, die zu einer Über- oder Unterschreitung eines Schwellenwertes (vgl. Art. 28 Abs. 2 IVG ) führt, als erheblich zu betrachten ( BGE 133 V 545 E. 6 und 7 S. 546 ff.; SVR 2010 IV Nr. 53 S. 165, 9C_8/2010 E. 3.1). Liegt in diesem Sinne ein Revisionsgrund vor, ist der Rentenanspruch in rechtlicher und tatsächlicher Hinsicht allseitig zu prüfen ( BGE 117 V 198 E. 4b S. 200; SVR 2004 IV Nr. 17 S. 53, I 526/02 E. 2.3; Urteil 9C_744/2008 vom 19. November 2008 E. 3.1.1 mit weiteren Hinweisen).</w:t>
      </w:r>
    </w:p>
    <w:p>
      <w:r>
        <w:rPr>
          <w:b/>
        </w:rPr>
        <w:t>E. 3.2</w:t>
      </w:r>
    </w:p>
    <w:p>
      <w:r>
        <w:t>Entgegen der Auffassung des BSV genügt für eine Rentenanpassung nicht bereits "irgendeine" Veränderung im Sachverhalt. Fällt lediglich ein verändertes hypothetisches Erwerbspensum in Betracht, bildet dies nur dann einen Revisionsgrund, wenn es den Rentenanspruch berührt (E. 3.1). Das gilt auch dann, wenn aufgrund des veränderten Erwerbsstatus eine andere Invaliditätsbemessungsmethode (vgl. Art. 28a IVG ) anwendbar wird. Diese Regelung entspricht der bisherigen Rechtsprechung; Gründe für eine diesbezügliche Praxisänderung (vgl. BGE 136 III 6 E. 3 S. 8 ; 135 I 79 E. 3 S. 82; 134 V 72 E. 3.3 S. 76) werden nicht geltend gemacht.</w:t>
      </w:r>
    </w:p>
    <w:p>
      <w:r>
        <w:t>Es trifft zu, dass das Leiden der Versicherten in Anbetracht der Rechtsprechung zu somatoformen Schmerzstörungen und damit vergleichbaren Schmerzleiden ( BGE 130 V 352 E. 2.2.3 S. 353 f.; 136 V 279 E. 3 S. 280 ff.) bei aktueller Beurteilung wohl kaum mehr einen Rentenanspruch zu begründen vermöchte. Bei unverändertem Gesundheitszustand hat dieser Umstand jedoch hinsichtlich der sich zunächst stellenden Frage nach dem Vorliegen eines Revisionsgrundes ausser Acht zu bleiben. Erst nach deren Bejahung ist der genannten Rechtsprechung im Rahmen der allseitigen Prüfung des Anspruchs Rechnung zu tragen. Ein anderes Vorgehen käme einer unzulässigen voraussetzungslosen Neubeurteilung des Rentenanspruchs (Urteil 9C_114/2008 vom 30. April 2008 E. 2.1) resp. Vorwegnahme der von den Eidg. Räten am 18. März 2011 beschlossenen Schlussbestimmung lit. a zur 6. IVG-Revision, erstes Massnahmenpaket (BBl 2011 2734 f.), gleich (vgl. BGE 135 V 201 E. 7 S. 211 ff.; 215 E. 6 und 7 S. 225 ff.).</w:t>
      </w:r>
    </w:p>
    <w:p>
      <w:r>
        <w:rPr>
          <w:b/>
        </w:rPr>
        <w:t>E. 3.3</w:t>
      </w:r>
    </w:p>
    <w:p>
      <w:r>
        <w:t>Die Vorinstanz hat zutreffend dargelegt, dass allein die Erhöhung des hypothetischen Erwerbspensums auf 100 % (entsprechend der Verfügung vom 1. Juni 2010 und der Aussage der Versicherten im Revisionsgespräch vom 26. September 2008) oder dessen Reduktion auf 50 % (wie im Bericht des verwaltungsinternen Abklärungsdienstes vom 22. Juni 2009 diskutiert) keine Veränderung des Rentenanspruchs ( Art. 28 Abs. 2 IVG ) bewirkt. Eine andere anspruchsrelevante Veränderung des Sachverhalts im massgeblichen Vergleichszeitraum ist nicht ersichtlich und wird auch nicht geltend gemacht. Das kantonale Gericht hat daher zu Recht das Vorliegen eines Revisionsgrundes verneint; die Beschwerde ist unbegründet.</w:t>
      </w:r>
    </w:p>
    <w:p>
      <w:r>
        <w:rPr>
          <w:b/>
        </w:rPr>
        <w:t>E. 4</w:t>
      </w:r>
    </w:p>
    <w:p>
      <w:r>
        <w:t>Mit dem Urteil in der Sache wird das Gesuch um Gewährung der aufschiebenden Wirkung gegenstandslos.</w:t>
      </w:r>
    </w:p>
    <w:p>
      <w:r>
        <w:rPr>
          <w:b/>
        </w:rPr>
        <w:t>E. 5</w:t>
      </w:r>
    </w:p>
    <w:p>
      <w:r>
        <w:t>Vom BSV als unterliegende Partei sind keine Gerichtskosten zu erheben (Art. 66 Abs. 1 in Verbindung mit Abs. 4 BGG). Hingegen hat die Beschwerdegegnerin für das bundesgerichtliche Verfahren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